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52577" w14:textId="2CDB0FE6" w:rsidR="008B1DB4" w:rsidRPr="000334F8" w:rsidRDefault="008B1DB4" w:rsidP="000334F8">
      <w:pPr>
        <w:spacing w:after="0" w:line="240" w:lineRule="auto"/>
        <w:jc w:val="both"/>
        <w:rPr>
          <w:rFonts w:ascii="Times New Roman" w:eastAsia="Times New Roman" w:hAnsi="Times New Roman" w:cs="Times New Roman"/>
          <w:kern w:val="0"/>
          <w:sz w:val="26"/>
          <w:szCs w:val="26"/>
          <w:lang w:eastAsia="en-GB"/>
          <w14:ligatures w14:val="none"/>
        </w:rPr>
      </w:pPr>
      <w:r w:rsidRPr="000334F8">
        <w:rPr>
          <w:rFonts w:ascii="Times New Roman" w:eastAsia="Times New Roman" w:hAnsi="Times New Roman" w:cs="Times New Roman"/>
          <w:kern w:val="0"/>
          <w:sz w:val="26"/>
          <w:szCs w:val="26"/>
          <w:lang w:eastAsia="en-GB"/>
          <w14:ligatures w14:val="none"/>
        </w:rPr>
        <w:t>SFÂNTA FECIOARĂ MARIA, IZVOR DE SPERANȚĂ</w:t>
      </w:r>
    </w:p>
    <w:p w14:paraId="2081951D" w14:textId="01C0D132" w:rsidR="008B1DB4" w:rsidRPr="000334F8" w:rsidRDefault="00303BFC" w:rsidP="000334F8">
      <w:pPr>
        <w:spacing w:after="0" w:line="240" w:lineRule="auto"/>
        <w:jc w:val="both"/>
        <w:rPr>
          <w:rFonts w:ascii="Times New Roman" w:eastAsia="Times New Roman" w:hAnsi="Times New Roman" w:cs="Times New Roman"/>
          <w:kern w:val="0"/>
          <w:sz w:val="26"/>
          <w:szCs w:val="26"/>
          <w:lang w:eastAsia="en-GB"/>
          <w14:ligatures w14:val="none"/>
        </w:rPr>
      </w:pPr>
      <w:r>
        <w:rPr>
          <w:rFonts w:ascii="Times New Roman" w:eastAsia="Times New Roman" w:hAnsi="Times New Roman" w:cs="Times New Roman"/>
          <w:kern w:val="0"/>
          <w:sz w:val="26"/>
          <w:szCs w:val="26"/>
          <w:lang w:eastAsia="en-GB"/>
          <w14:ligatures w14:val="none"/>
        </w:rPr>
        <w:t>(</w:t>
      </w:r>
      <w:r w:rsidR="008B1DB4" w:rsidRPr="000334F8">
        <w:rPr>
          <w:rFonts w:ascii="Times New Roman" w:eastAsia="Times New Roman" w:hAnsi="Times New Roman" w:cs="Times New Roman"/>
          <w:kern w:val="0"/>
          <w:sz w:val="26"/>
          <w:szCs w:val="26"/>
          <w:lang w:eastAsia="en-GB"/>
          <w14:ligatures w14:val="none"/>
        </w:rPr>
        <w:t>Reflecții patristice adresate omului contemporan</w:t>
      </w:r>
      <w:r>
        <w:rPr>
          <w:rFonts w:ascii="Times New Roman" w:eastAsia="Times New Roman" w:hAnsi="Times New Roman" w:cs="Times New Roman"/>
          <w:kern w:val="0"/>
          <w:sz w:val="26"/>
          <w:szCs w:val="26"/>
          <w:lang w:eastAsia="en-GB"/>
          <w14:ligatures w14:val="none"/>
        </w:rPr>
        <w:t>)</w:t>
      </w:r>
    </w:p>
    <w:p w14:paraId="58913761" w14:textId="77777777" w:rsidR="008B1DB4" w:rsidRPr="000334F8" w:rsidRDefault="008B1DB4" w:rsidP="000334F8">
      <w:pPr>
        <w:spacing w:after="0" w:line="240" w:lineRule="auto"/>
        <w:jc w:val="both"/>
        <w:rPr>
          <w:rFonts w:ascii="Times New Roman" w:eastAsia="Times New Roman" w:hAnsi="Times New Roman" w:cs="Times New Roman"/>
          <w:kern w:val="0"/>
          <w:sz w:val="26"/>
          <w:szCs w:val="26"/>
          <w:lang w:eastAsia="en-GB"/>
          <w14:ligatures w14:val="none"/>
        </w:rPr>
      </w:pPr>
    </w:p>
    <w:p w14:paraId="566A0210"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Introducere. Criza speranței și actualitatea figurii mariane</w:t>
      </w:r>
    </w:p>
    <w:p w14:paraId="3BDE0245"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România contemporană traversează o perioadă caracterizată de o tensiune structurală între aspirație și dezamăgire, între dorința legitimă de stabilitate și experiența persistentă a precarității. După decenii de tranziție politică, economică și culturală, societatea românească resimte o oboseală profundă, care nu este doar materială, ci și simbolică, morală și spirituală. Migrația masivă a forței de muncă a produs rupturi familiale și comunitare greu de vindecat; fragilizarea instituției familiei și individualizarea excesivă au slăbit mecanismele tradiționale de solidaritate; insecuritatea economică și polarizarea socială au accentuat sentimentul de nedreptate și lipsă de perspectivă; iar scăderea încrederii în instituții a alimentat o stare generalizată de scepticism. În acest context, pentru numeroși oameni, viitorul nu mai apare ca promisiune, ci ca sursă de anxietate, iar prezentul este trăit sub semnul presiunii continue și al lipsei de orizont.</w:t>
      </w:r>
    </w:p>
    <w:p w14:paraId="4F09DE77"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Într-o asemenea situație, speranța riscă să fie redusă fie la un optimism psihologic fragil, menit să amortizeze tensiunile zilnice, fie la un discurs religios pur consolator, lipsit de forță transformatoare. Or, tradiția creștină nu înțelege speranța ca dispoziție afectivă sau ca strategie de adaptare la condiții adverse, ci ca virtute teologală, adică drept participare a omului la fidelitatea lui Dumnezeu față de istorie. Speranța nu izvorăște din capacitatea omului de a controla viitorul sau de a evita suferința, ci din încrederea că istoria rămâne deschisă lucrării divine chiar și atunci când perspectivele umane par epuizate. În logica creștină, speranța este, înainte de toate, o categorie relațională: ea se sprijină pe promisiunea unui Dumnezeu care nu abandonează creația și care nu retrage sensul atunci când omul se confruntă cu limitele sale.</w:t>
      </w:r>
    </w:p>
    <w:p w14:paraId="48A86D6C"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Din această perspectivă, figura Fecioarei Maria ocupă un loc central și ireductibil. Reflecția patristică nu o prezintă pe Maria ca pe un ideal inaccesibil sau ca pe un simbol abstract, ci ca pe o persoană istorică reală, situată într-un context de precaritate, risc și vulnerabilitate. În persoana ei se concentrează tensiunile, rănile și promisiunile condiției umane asumate de Dumnezeu. Maria devine astfel un „loc teologic” privilegiat, în care se poate observa cum speranța creștină se naște, se maturizează și se verifică în condiții concrete de viață, nu în afara istoriei, ci în miezul ei. Ea nu este doar destinatara unei promisiuni, ci și subiectul unui răspuns: în Maria, speranța apare ca întâlnire între inițiativa divină și libertatea umană.</w:t>
      </w:r>
    </w:p>
    <w:p w14:paraId="007A9B2F"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1. Maria și speranța reluării istoriei: perspectiva irineană</w:t>
      </w:r>
    </w:p>
    <w:p w14:paraId="7AA01078"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 xml:space="preserve">Unul dintre nucleele fundamentale ale teologiei patristice este tema istoriei reluate, formulată cu rigoare de Sfântul Irineu de Lyon în doctrina recapitulării (ἀνακεφαλαίωσις). Potrivit acestei viziuni, mântuirea nu constă în anularea istoriei sau în evadarea din condiția umană, ci în asumarea, vindecarea și reorientarea istoriei din interior. Hristos nu distruge ceea ce este omenesc, ci îl reface, îl recapitulă și îl conduce spre împlinire. Istoria, cu rănile și eșecurile ei, nu este eliminată, ci transfigurată. În </w:t>
      </w:r>
      <w:r w:rsidRPr="000334F8">
        <w:rPr>
          <w:rFonts w:ascii="Times New Roman" w:eastAsia="Times New Roman" w:hAnsi="Times New Roman" w:cs="Times New Roman"/>
          <w:color w:val="000000"/>
          <w:kern w:val="0"/>
          <w:sz w:val="26"/>
          <w:szCs w:val="26"/>
          <w:lang w:eastAsia="en-GB"/>
          <w14:ligatures w14:val="none"/>
        </w:rPr>
        <w:lastRenderedPageBreak/>
        <w:t>acest cadru, speranța este mai mult decât consolare: ea este deschiderea către o refacere reală a omului și a lumii în Hristos.</w:t>
      </w:r>
    </w:p>
    <w:p w14:paraId="69A4C6DA"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 acest proces, Maria ocupă un rol decisiv. Paralela Eva–Maria nu este una moralistă sau pur ilustrativă, ci profund ontologică: ceea ce Eva a legat prin neascultare este dezlegat prin ascultarea Mariei. Prin consimțământul ei liber la vestirea îngerului, Maria devine începutul unei umanități restaurate. Istoria rănită nu este corectată din exterior printr-un act unilateral al lui Dumnezeu, ci este redeschisă printr-un răspuns personal, liber și responsabil. În acest sens, Maria nu este doar „instrumentul” întrupării, ci spațiul uman în care istoria își recapătă deschiderea spre Dumnezeu. Ea reprezintă acel punct de inflexiune în care umanitatea, reprezentată personal, reînvață ascultarea ca formă de viață, nu ca simplă supunere, ci ca încredere activă.</w:t>
      </w:r>
    </w:p>
    <w:p w14:paraId="716D76C7"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Această perspectivă are o relevanță antropologică și pastorală profundă pentru creștinul român de astăzi. Mulți trăiesc sub povara unor decizii percepute ca ireversibile sau a unor circumstanțe considerate definitive: eșecuri familiale, migrație forțată, traiectorii profesionale întrerupte, boli cronice sau traume istorice transmise intergenerațional. Teologia irineană a Mariei afirmă că speranța nu constă în ștergerea trecutului sau în negarea rănilor, ci în capacitatea de a le integra într-un drum nou. Cu Dumnezeu, istoria personală și colectivă nu este niciodată complet închisă, chiar dacă rămâne marcată de cicatrici. Pentru România, unde memoria colectivă include straturi de suferință, dezrădăcinare și dezamăgire, figura Mariei poate funcționa ca simbol teologic al reluării: nu ca simplă „reparație” exterioară, ci ca posibilitate de reînnoire interioară.</w:t>
      </w:r>
    </w:p>
    <w:p w14:paraId="0F72AB7A"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 plan existențial, această intuiție poate fi formulată astfel: speranța creștină nu promite că „nu va mai durea”, ci că durerea nu va fi ultimul cuvânt. Maria, ca „început al lumii noi”, arată că reorientarea este posibilă chiar atunci când condițiile par potrivnice. Aceasta implică o antropologie realistă, în care omul nu este redus la determinismele sociale, economice sau biografice, dar nici nu este idealizat ca autosuficient. Speranța devine, astfel, un mod de a locui istoria, nu o tehnică de evadare din ea.</w:t>
      </w:r>
    </w:p>
    <w:p w14:paraId="1C7C646A" w14:textId="77777777" w:rsidR="0096116C" w:rsidRPr="000334F8" w:rsidRDefault="0096116C"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1) Maria și „reluarea” istoriei – Irineu (Eva–Maria, recapitularea)</w:t>
      </w:r>
    </w:p>
    <w:p w14:paraId="6B24E8C8"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„Nodul neascultării Evei a fost dezlegat prin ascultarea Mariei.”</w:t>
      </w:r>
      <w:r w:rsidRPr="000334F8">
        <w:rPr>
          <w:rFonts w:ascii="Times New Roman" w:eastAsia="Times New Roman" w:hAnsi="Times New Roman" w:cs="Times New Roman"/>
          <w:color w:val="000000"/>
          <w:kern w:val="0"/>
          <w:sz w:val="26"/>
          <w:szCs w:val="26"/>
          <w:lang w:eastAsia="en-GB"/>
          <w14:ligatures w14:val="none"/>
        </w:rPr>
        <w:br/>
        <w:t>— Irineu de Lyon, </w:t>
      </w:r>
      <w:r w:rsidRPr="000334F8">
        <w:rPr>
          <w:rFonts w:ascii="Times New Roman" w:eastAsia="Times New Roman" w:hAnsi="Times New Roman" w:cs="Times New Roman"/>
          <w:i/>
          <w:iCs/>
          <w:color w:val="000000"/>
          <w:kern w:val="0"/>
          <w:sz w:val="26"/>
          <w:szCs w:val="26"/>
          <w:lang w:eastAsia="en-GB"/>
          <w14:ligatures w14:val="none"/>
        </w:rPr>
        <w:t>Adversus haereses</w:t>
      </w:r>
      <w:r w:rsidRPr="000334F8">
        <w:rPr>
          <w:rFonts w:ascii="Times New Roman" w:eastAsia="Times New Roman" w:hAnsi="Times New Roman" w:cs="Times New Roman"/>
          <w:color w:val="000000"/>
          <w:kern w:val="0"/>
          <w:sz w:val="26"/>
          <w:szCs w:val="26"/>
          <w:lang w:eastAsia="en-GB"/>
          <w14:ligatures w14:val="none"/>
        </w:rPr>
        <w:t>, III, 22, 4.</w:t>
      </w:r>
    </w:p>
    <w:p w14:paraId="02033C4B"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„După cum [Eva]… a devenit pricină de moarte, tot astfel Maria… pricină de mântuire.”</w:t>
      </w:r>
      <w:r w:rsidRPr="000334F8">
        <w:rPr>
          <w:rFonts w:ascii="Times New Roman" w:eastAsia="Times New Roman" w:hAnsi="Times New Roman" w:cs="Times New Roman"/>
          <w:color w:val="000000"/>
          <w:kern w:val="0"/>
          <w:sz w:val="26"/>
          <w:szCs w:val="26"/>
          <w:lang w:eastAsia="en-GB"/>
          <w14:ligatures w14:val="none"/>
        </w:rPr>
        <w:br/>
        <w:t>— Irineu de Lyon, </w:t>
      </w:r>
      <w:r w:rsidRPr="000334F8">
        <w:rPr>
          <w:rFonts w:ascii="Times New Roman" w:eastAsia="Times New Roman" w:hAnsi="Times New Roman" w:cs="Times New Roman"/>
          <w:i/>
          <w:iCs/>
          <w:color w:val="000000"/>
          <w:kern w:val="0"/>
          <w:sz w:val="26"/>
          <w:szCs w:val="26"/>
          <w:lang w:eastAsia="en-GB"/>
          <w14:ligatures w14:val="none"/>
        </w:rPr>
        <w:t>Adversus haereses</w:t>
      </w:r>
      <w:r w:rsidRPr="000334F8">
        <w:rPr>
          <w:rFonts w:ascii="Times New Roman" w:eastAsia="Times New Roman" w:hAnsi="Times New Roman" w:cs="Times New Roman"/>
          <w:color w:val="000000"/>
          <w:kern w:val="0"/>
          <w:sz w:val="26"/>
          <w:szCs w:val="26"/>
          <w:lang w:eastAsia="en-GB"/>
          <w14:ligatures w14:val="none"/>
        </w:rPr>
        <w:t>, III, 22, 4.</w:t>
      </w:r>
    </w:p>
    <w:p w14:paraId="512CB17B" w14:textId="4AB6851D" w:rsidR="0096116C" w:rsidRPr="000334F8" w:rsidRDefault="00474C62"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Pr>
          <w:rFonts w:ascii="Times New Roman" w:eastAsia="Times New Roman" w:hAnsi="Times New Roman" w:cs="Times New Roman"/>
          <w:color w:val="000000"/>
          <w:kern w:val="0"/>
          <w:sz w:val="26"/>
          <w:szCs w:val="26"/>
          <w:lang w:eastAsia="en-GB"/>
          <w14:ligatures w14:val="none"/>
        </w:rPr>
        <w:t>S</w:t>
      </w:r>
      <w:r w:rsidR="0096116C" w:rsidRPr="000334F8">
        <w:rPr>
          <w:rFonts w:ascii="Times New Roman" w:eastAsia="Times New Roman" w:hAnsi="Times New Roman" w:cs="Times New Roman"/>
          <w:color w:val="000000"/>
          <w:kern w:val="0"/>
          <w:sz w:val="26"/>
          <w:szCs w:val="26"/>
          <w:lang w:eastAsia="en-GB"/>
          <w14:ligatures w14:val="none"/>
        </w:rPr>
        <w:t>peranța creștină nu e</w:t>
      </w:r>
      <w:r>
        <w:rPr>
          <w:rFonts w:ascii="Times New Roman" w:eastAsia="Times New Roman" w:hAnsi="Times New Roman" w:cs="Times New Roman"/>
          <w:color w:val="000000"/>
          <w:kern w:val="0"/>
          <w:sz w:val="26"/>
          <w:szCs w:val="26"/>
          <w:lang w:eastAsia="en-GB"/>
          <w14:ligatures w14:val="none"/>
        </w:rPr>
        <w:t>ste</w:t>
      </w:r>
      <w:r w:rsidR="0096116C" w:rsidRPr="000334F8">
        <w:rPr>
          <w:rFonts w:ascii="Times New Roman" w:eastAsia="Times New Roman" w:hAnsi="Times New Roman" w:cs="Times New Roman"/>
          <w:color w:val="000000"/>
          <w:kern w:val="0"/>
          <w:sz w:val="26"/>
          <w:szCs w:val="26"/>
          <w:lang w:eastAsia="en-GB"/>
          <w14:ligatures w14:val="none"/>
        </w:rPr>
        <w:t xml:space="preserve"> „optimism”, ci </w:t>
      </w:r>
      <w:r w:rsidR="0096116C" w:rsidRPr="000334F8">
        <w:rPr>
          <w:rFonts w:ascii="Times New Roman" w:eastAsia="Times New Roman" w:hAnsi="Times New Roman" w:cs="Times New Roman"/>
          <w:b/>
          <w:bCs/>
          <w:color w:val="000000"/>
          <w:kern w:val="0"/>
          <w:sz w:val="26"/>
          <w:szCs w:val="26"/>
          <w:lang w:eastAsia="en-GB"/>
          <w14:ligatures w14:val="none"/>
        </w:rPr>
        <w:t>reorientarea reală a istoriei</w:t>
      </w:r>
      <w:r w:rsidR="0096116C" w:rsidRPr="000334F8">
        <w:rPr>
          <w:rFonts w:ascii="Times New Roman" w:eastAsia="Times New Roman" w:hAnsi="Times New Roman" w:cs="Times New Roman"/>
          <w:color w:val="000000"/>
          <w:kern w:val="0"/>
          <w:sz w:val="26"/>
          <w:szCs w:val="26"/>
          <w:lang w:eastAsia="en-GB"/>
          <w14:ligatures w14:val="none"/>
        </w:rPr>
        <w:t> prin răspunsul liber al omului.</w:t>
      </w:r>
    </w:p>
    <w:p w14:paraId="6DC43D9B"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3D293279"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2. Libertatea mariană: între autonomie și responsabilitate</w:t>
      </w:r>
    </w:p>
    <w:p w14:paraId="70822CE9"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lastRenderedPageBreak/>
        <w:t>Un al doilea nucleu teologic major este modul în care Maria redefinește libertatea umană. Cultura contemporană tinde să identifice libertatea cu autonomia absolută: refuzul oricărei dependențe, evitarea angajamentelor definitive, respingerea autorității și a tradiției. Această concepție, departe de a elibera persoana, produce adesea insecuritate identitară, instabilitate relațională și anxietate cronică. Libertatea devine fragilă, deoarece este lipsită de repere și de sens. În România de azi, acest fenomen se observă în oscilația între dorința de stabilitate și teama de angajamente, între aspirația la libertate și dificultatea de a construi relații durabile.</w:t>
      </w:r>
    </w:p>
    <w:p w14:paraId="4D01E87F"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Maria propune o paradigmă diferită: libertatea ca răspuns. Ea nu este constrânsă, ci chemată; nu este anulată, ci responsabilizată. Formula „Fie mie după cuvântul tău” exprimă maturitatea unei libertăți capabile să se deschidă unei chemări care o depășește fără a se dizolva. Tradiția patristică insistă asupra caracterului liber al consimțământului Mariei tocmai pentru a arăta că harul nu suprimă voința, ci o împlinește și o aduce la forma ei deplină. În acest sens, libertatea nu este opusă ascultării, ci poate deveni forma ei superioară: ascultarea ca act de încredere, nu ca anulare a persoanei.</w:t>
      </w:r>
    </w:p>
    <w:p w14:paraId="5D4121BB"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Aplicată contextului românesc, această viziune corectează confuzia dintre libertate și fugă de responsabilitate. În familie, în viața civică și în viața eclezială, libertatea nu se pierde prin fidelitate, ci se maturizează prin asumare. Maria devine astfel un model de libertate integrată, capabilă de angajamente durabile într-o societate marcată de precaritate relațională și de teama de angajamente pe termen lung. Din punct de vedere antropologic, această libertate integrată presupune o unitate a persoanei: voința, afectivitatea și rațiunea nu se fragmentează în decizii contradictorii, ci converg spre un bine recunoscut și asumat.</w:t>
      </w:r>
    </w:p>
    <w:p w14:paraId="26B7FBB8"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Mai mult, libertatea mariană poate fi înțeleasă ca o critică implicită a două tentații moderne: autonomia absolută (care izolează) și fatalismul (care paralizează). În România, unde uneori resemnarea socială se combină cu neîncrederea în instituții și în proiecte colective, Maria indică o libertate care nu depinde de „garanții” exterioare, ci de un centru interior stabil: fidelitatea față de Dumnezeu. O astfel de libertate are consecințe sociale: ea face posibilă solidaritatea, perseverența și responsabilitatea, nu ca simple imperative morale, ci ca roade ale speranței.</w:t>
      </w:r>
    </w:p>
    <w:p w14:paraId="14A3B4AB" w14:textId="77777777" w:rsidR="0096116C" w:rsidRPr="000334F8" w:rsidRDefault="0096116C"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Libertatea ca răspuns – „Fiat”-ul Mariei (Luca + lectura patristică)</w:t>
      </w:r>
    </w:p>
    <w:p w14:paraId="6756B7D2"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„Iată slujitoarea Domnului; fie mie după cuvântul tău.”</w:t>
      </w:r>
      <w:r w:rsidRPr="000334F8">
        <w:rPr>
          <w:rFonts w:ascii="Times New Roman" w:eastAsia="Times New Roman" w:hAnsi="Times New Roman" w:cs="Times New Roman"/>
          <w:color w:val="000000"/>
          <w:kern w:val="0"/>
          <w:sz w:val="26"/>
          <w:szCs w:val="26"/>
          <w:lang w:eastAsia="en-GB"/>
          <w14:ligatures w14:val="none"/>
        </w:rPr>
        <w:br/>
        <w:t>— Lc 1,38 (text-scripturistic cu relevanță patristică directă).</w:t>
      </w:r>
    </w:p>
    <w:p w14:paraId="04D6D9DF"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„Fecioara a primit prin credință; credința ei a zămislit.”</w:t>
      </w:r>
      <w:r w:rsidRPr="000334F8">
        <w:rPr>
          <w:rFonts w:ascii="Times New Roman" w:eastAsia="Times New Roman" w:hAnsi="Times New Roman" w:cs="Times New Roman"/>
          <w:color w:val="000000"/>
          <w:kern w:val="0"/>
          <w:sz w:val="26"/>
          <w:szCs w:val="26"/>
          <w:lang w:eastAsia="en-GB"/>
          <w14:ligatures w14:val="none"/>
        </w:rPr>
        <w:br/>
        <w:t>— Augustin, </w:t>
      </w:r>
      <w:r w:rsidRPr="000334F8">
        <w:rPr>
          <w:rFonts w:ascii="Times New Roman" w:eastAsia="Times New Roman" w:hAnsi="Times New Roman" w:cs="Times New Roman"/>
          <w:i/>
          <w:iCs/>
          <w:color w:val="000000"/>
          <w:kern w:val="0"/>
          <w:sz w:val="26"/>
          <w:szCs w:val="26"/>
          <w:lang w:eastAsia="en-GB"/>
          <w14:ligatures w14:val="none"/>
        </w:rPr>
        <w:t>Sermo</w:t>
      </w:r>
      <w:r w:rsidRPr="000334F8">
        <w:rPr>
          <w:rFonts w:ascii="Times New Roman" w:eastAsia="Times New Roman" w:hAnsi="Times New Roman" w:cs="Times New Roman"/>
          <w:color w:val="000000"/>
          <w:kern w:val="0"/>
          <w:sz w:val="26"/>
          <w:szCs w:val="26"/>
          <w:lang w:eastAsia="en-GB"/>
          <w14:ligatures w14:val="none"/>
        </w:rPr>
        <w:t> 215, 4 (idee reluată în tradiția latină).</w:t>
      </w:r>
    </w:p>
    <w:p w14:paraId="4170E6AD" w14:textId="7803F0B0" w:rsidR="0096116C" w:rsidRPr="000334F8" w:rsidRDefault="00474C62"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Pr>
          <w:rFonts w:ascii="Times New Roman" w:eastAsia="Times New Roman" w:hAnsi="Times New Roman" w:cs="Times New Roman"/>
          <w:b/>
          <w:bCs/>
          <w:color w:val="000000"/>
          <w:kern w:val="0"/>
          <w:sz w:val="26"/>
          <w:szCs w:val="26"/>
          <w:lang w:eastAsia="en-GB"/>
          <w14:ligatures w14:val="none"/>
        </w:rPr>
        <w:t>L</w:t>
      </w:r>
      <w:r w:rsidR="0096116C" w:rsidRPr="000334F8">
        <w:rPr>
          <w:rFonts w:ascii="Times New Roman" w:eastAsia="Times New Roman" w:hAnsi="Times New Roman" w:cs="Times New Roman"/>
          <w:b/>
          <w:bCs/>
          <w:color w:val="000000"/>
          <w:kern w:val="0"/>
          <w:sz w:val="26"/>
          <w:szCs w:val="26"/>
          <w:lang w:eastAsia="en-GB"/>
          <w14:ligatures w14:val="none"/>
        </w:rPr>
        <w:t>ibertate</w:t>
      </w:r>
      <w:r>
        <w:rPr>
          <w:rFonts w:ascii="Times New Roman" w:eastAsia="Times New Roman" w:hAnsi="Times New Roman" w:cs="Times New Roman"/>
          <w:b/>
          <w:bCs/>
          <w:color w:val="000000"/>
          <w:kern w:val="0"/>
          <w:sz w:val="26"/>
          <w:szCs w:val="26"/>
          <w:lang w:eastAsia="en-GB"/>
          <w14:ligatures w14:val="none"/>
        </w:rPr>
        <w:t>a</w:t>
      </w:r>
      <w:r w:rsidR="0096116C" w:rsidRPr="000334F8">
        <w:rPr>
          <w:rFonts w:ascii="Times New Roman" w:eastAsia="Times New Roman" w:hAnsi="Times New Roman" w:cs="Times New Roman"/>
          <w:b/>
          <w:bCs/>
          <w:color w:val="000000"/>
          <w:kern w:val="0"/>
          <w:sz w:val="26"/>
          <w:szCs w:val="26"/>
          <w:lang w:eastAsia="en-GB"/>
          <w14:ligatures w14:val="none"/>
        </w:rPr>
        <w:t xml:space="preserve"> matură</w:t>
      </w:r>
      <w:r>
        <w:rPr>
          <w:rFonts w:ascii="Times New Roman" w:eastAsia="Times New Roman" w:hAnsi="Times New Roman" w:cs="Times New Roman"/>
          <w:color w:val="000000"/>
          <w:kern w:val="0"/>
          <w:sz w:val="26"/>
          <w:szCs w:val="26"/>
          <w:lang w:eastAsia="en-GB"/>
          <w14:ligatures w14:val="none"/>
        </w:rPr>
        <w:t xml:space="preserve"> este</w:t>
      </w:r>
      <w:r w:rsidR="0096116C" w:rsidRPr="000334F8">
        <w:rPr>
          <w:rFonts w:ascii="Times New Roman" w:eastAsia="Times New Roman" w:hAnsi="Times New Roman" w:cs="Times New Roman"/>
          <w:color w:val="000000"/>
          <w:kern w:val="0"/>
          <w:sz w:val="26"/>
          <w:szCs w:val="26"/>
          <w:lang w:eastAsia="en-GB"/>
          <w14:ligatures w14:val="none"/>
        </w:rPr>
        <w:t xml:space="preserve"> opusă autonomiei absolute: libertatea se împlinește ca act responsabil.</w:t>
      </w:r>
    </w:p>
    <w:p w14:paraId="3713FB7D"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7B409430"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lastRenderedPageBreak/>
        <w:t>3. Maria și pedagogia suferinței: speranță fără disperare</w:t>
      </w:r>
    </w:p>
    <w:p w14:paraId="7781E72D"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Tradiția creștină nu idealizează viața Mariei ca pe una lipsită de suferință. Dimpotrivă, Evangheliile și lectura patristică subliniază un parcurs existențial marcat de precaritate și durere: nașterea în sărăcie, fuga în Egipt, experiența exilului, neînțelegerea, profeția sabiei care va străpunge sufletul și prezența tăcută la Cruce. Maria nu este „protejată” de suferință, ci o traversează în fidelitate. Acest fapt are valoare teologică decisivă: speranța nu este validă doar în condiții ideale, ci mai ales în condiții-limită.</w:t>
      </w:r>
    </w:p>
    <w:p w14:paraId="4D8E9F36"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Această dimensiune este deosebit de relevantă pentru România actuală, unde suferința este adesea trăită în izolare: boala, sărăcia, dependențele, singurătatea vârstnicilor, trauma familiilor despărțite de migrație. Maria arată că durerea nu este un semn al abandonului divin. Speranța mariană nu constă în eliminarea suferinței, ci în refuzul disperării. Ea face posibilă o suferință trăită în comuniune, nu în izolare sau în revoltă mută. Într-o cultură în care suferința poate fi fie ascunsă din rușine, fie transformată în resentiment, figura Mariei propune o altă atitudine: fidelitatea tăcută, răbdătoare, fără cinism.</w:t>
      </w:r>
    </w:p>
    <w:p w14:paraId="737EA9D0"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Din perspectivă pastorală și eclezială, această învățătură cheamă Biserica să evite atât spiritualizarea abstractă a durerii (care poate deveni o formă de indiferență morală), cât și ignorarea ei (care abandonează persoana în singurătate). Maria la Cruce devine modelul unei prezențe tăcute, dar fidele, care susține speranța chiar atunci când limbajul este epuizat și explicațiile sunt imposibile. Practic, aceasta implică o „pastorație a însoțirii”: prezență, ascultare, solidaritate, ritm lent al vindecării. Speranța creștină nu este un argument, ci o prezență care nu pleacă.</w:t>
      </w:r>
    </w:p>
    <w:p w14:paraId="5D45908A"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 plus, suferința asumată în speranță poate deveni loc de maturizare a comunității. În România, unde infrastructurile sociale de sprijin sunt adesea insuficiente, comunitatea eclezială poate funcționa ca spațiu al compasiunii active. Maria, în acest sens, nu este doar „model personal”, ci și principiu eclezial: Biserica este chemată să fie maternă, adică să poarte, să ocrotească și să însoțească.</w:t>
      </w:r>
    </w:p>
    <w:p w14:paraId="5EFAC67A" w14:textId="77777777" w:rsidR="0096116C" w:rsidRPr="000334F8" w:rsidRDefault="0096116C"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3) Maria și pedagogia suferinței – compasiune, „a sta la Cruce”</w:t>
      </w:r>
    </w:p>
    <w:p w14:paraId="559D2271"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„Stătea lângă crucea lui Isus mama lui.”</w:t>
      </w:r>
      <w:r w:rsidRPr="000334F8">
        <w:rPr>
          <w:rFonts w:ascii="Times New Roman" w:eastAsia="Times New Roman" w:hAnsi="Times New Roman" w:cs="Times New Roman"/>
          <w:color w:val="000000"/>
          <w:kern w:val="0"/>
          <w:sz w:val="26"/>
          <w:szCs w:val="26"/>
          <w:lang w:eastAsia="en-GB"/>
          <w14:ligatures w14:val="none"/>
        </w:rPr>
        <w:br/>
        <w:t>— In 19,25.</w:t>
      </w:r>
    </w:p>
    <w:p w14:paraId="083F2704"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„Prin tine s-a bucurat creația… și prin tine s-a alungat întristarea.”</w:t>
      </w:r>
      <w:r w:rsidRPr="000334F8">
        <w:rPr>
          <w:rFonts w:ascii="Times New Roman" w:eastAsia="Times New Roman" w:hAnsi="Times New Roman" w:cs="Times New Roman"/>
          <w:color w:val="000000"/>
          <w:kern w:val="0"/>
          <w:sz w:val="26"/>
          <w:szCs w:val="26"/>
          <w:lang w:eastAsia="en-GB"/>
          <w14:ligatures w14:val="none"/>
        </w:rPr>
        <w:br/>
        <w:t>— Efrem Sirul, </w:t>
      </w:r>
      <w:r w:rsidRPr="000334F8">
        <w:rPr>
          <w:rFonts w:ascii="Times New Roman" w:eastAsia="Times New Roman" w:hAnsi="Times New Roman" w:cs="Times New Roman"/>
          <w:i/>
          <w:iCs/>
          <w:color w:val="000000"/>
          <w:kern w:val="0"/>
          <w:sz w:val="26"/>
          <w:szCs w:val="26"/>
          <w:lang w:eastAsia="en-GB"/>
          <w14:ligatures w14:val="none"/>
        </w:rPr>
        <w:t>Imne</w:t>
      </w:r>
      <w:r w:rsidRPr="000334F8">
        <w:rPr>
          <w:rFonts w:ascii="Times New Roman" w:eastAsia="Times New Roman" w:hAnsi="Times New Roman" w:cs="Times New Roman"/>
          <w:color w:val="000000"/>
          <w:kern w:val="0"/>
          <w:sz w:val="26"/>
          <w:szCs w:val="26"/>
          <w:lang w:eastAsia="en-GB"/>
          <w14:ligatures w14:val="none"/>
        </w:rPr>
        <w:t> (formule tipice ale imnelor mariane; se citează după ediția critică).</w:t>
      </w:r>
    </w:p>
    <w:p w14:paraId="79C86F62" w14:textId="01A3CD17" w:rsidR="0096116C" w:rsidRPr="000334F8" w:rsidRDefault="00474C62"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Pr>
          <w:rFonts w:ascii="Times New Roman" w:eastAsia="Times New Roman" w:hAnsi="Times New Roman" w:cs="Times New Roman"/>
          <w:color w:val="000000"/>
          <w:kern w:val="0"/>
          <w:sz w:val="26"/>
          <w:szCs w:val="26"/>
          <w:lang w:eastAsia="en-GB"/>
          <w14:ligatures w14:val="none"/>
        </w:rPr>
        <w:t>S</w:t>
      </w:r>
      <w:r w:rsidR="0096116C" w:rsidRPr="000334F8">
        <w:rPr>
          <w:rFonts w:ascii="Times New Roman" w:eastAsia="Times New Roman" w:hAnsi="Times New Roman" w:cs="Times New Roman"/>
          <w:color w:val="000000"/>
          <w:kern w:val="0"/>
          <w:sz w:val="26"/>
          <w:szCs w:val="26"/>
          <w:lang w:eastAsia="en-GB"/>
          <w14:ligatures w14:val="none"/>
        </w:rPr>
        <w:t>peranța nu e evadare din durere, ci </w:t>
      </w:r>
      <w:r w:rsidR="0096116C" w:rsidRPr="000334F8">
        <w:rPr>
          <w:rFonts w:ascii="Times New Roman" w:eastAsia="Times New Roman" w:hAnsi="Times New Roman" w:cs="Times New Roman"/>
          <w:b/>
          <w:bCs/>
          <w:color w:val="000000"/>
          <w:kern w:val="0"/>
          <w:sz w:val="26"/>
          <w:szCs w:val="26"/>
          <w:lang w:eastAsia="en-GB"/>
          <w14:ligatures w14:val="none"/>
        </w:rPr>
        <w:t>prezență fidelă</w:t>
      </w:r>
      <w:r w:rsidR="0096116C" w:rsidRPr="000334F8">
        <w:rPr>
          <w:rFonts w:ascii="Times New Roman" w:eastAsia="Times New Roman" w:hAnsi="Times New Roman" w:cs="Times New Roman"/>
          <w:color w:val="000000"/>
          <w:kern w:val="0"/>
          <w:sz w:val="26"/>
          <w:szCs w:val="26"/>
          <w:lang w:eastAsia="en-GB"/>
          <w14:ligatures w14:val="none"/>
        </w:rPr>
        <w:t> în durere.</w:t>
      </w:r>
      <w:r w:rsidR="00CC2CED">
        <w:rPr>
          <w:rFonts w:ascii="Times New Roman" w:eastAsia="Times New Roman" w:hAnsi="Times New Roman" w:cs="Times New Roman"/>
          <w:color w:val="000000"/>
          <w:kern w:val="0"/>
          <w:sz w:val="26"/>
          <w:szCs w:val="26"/>
          <w:lang w:eastAsia="en-GB"/>
          <w14:ligatures w14:val="none"/>
        </w:rPr>
        <w:t xml:space="preserve"> </w:t>
      </w:r>
    </w:p>
    <w:p w14:paraId="39146887"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50C6E143"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4. Speranța ca realitate comunitară: Maria și Biserica</w:t>
      </w:r>
    </w:p>
    <w:p w14:paraId="78BCAD17"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lastRenderedPageBreak/>
        <w:t>Un accent patristic esențial este caracterul comunitar al speranței. Maria nu apare niciodată ca figură izolată sau autosuficientă. Ea este prezentă la Cana, în comunitatea apostolică și în Biserica primară. Părinții Bisericii o văd ca icoană a Bisericii tocmai pentru că în ea credința personală se deschide spre o realitate comună. Maria nu trăiește speranța ca proiect privat, ci ca apartenență la un popor și la o comunitate care merge împreună.</w:t>
      </w:r>
    </w:p>
    <w:p w14:paraId="79493ED1"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 România contemporană, individualismul și fragmentarea socială au slăbit profund țesutul comunitar. Mulți trăiesc credința ca experiență strict privată, iar comunitatea este percepută ca limitare sau povară. Maria contrazice această viziune: speranța nu rezistă în izolare. Ea are nevoie de relații stabile, de apartenență, de memorie comună și de solidaritate concretă. În absența acestora, speranța devine vulnerabilă, fiind ușor înlocuită de anxietate, cinism sau resemnare.</w:t>
      </w:r>
    </w:p>
    <w:p w14:paraId="09FBD4AF"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Această perspectivă implică o redescoperire a comunității parohiale nu ca simplu cadru administrativ, ci ca spațiu al speranței împărtășite, al însoțirii reciproce și al vindecării lente. În mod concret, aceasta poate însemna: reînvățarea convivialității, recuperarea practicilor comunitare (rugăciune, caritate, sprijin material și afectiv), reconstituirea legăturilor între generații. Într-o societate în care migrația a creat comunități „fracturate”, Biserica poate deveni loc de rețesere socială; iar Maria, ca icoană a Bisericii, devine simbolul unei comunități care nu abandonează.</w:t>
      </w:r>
    </w:p>
    <w:p w14:paraId="65BE4A5F" w14:textId="77777777" w:rsidR="0096116C" w:rsidRPr="000334F8" w:rsidRDefault="0096116C" w:rsidP="000334F8">
      <w:pPr>
        <w:spacing w:before="100" w:beforeAutospacing="1" w:after="100" w:afterAutospacing="1" w:line="240" w:lineRule="auto"/>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Maria, „templu” și „pod” – dimensiune eclezială și cosmică (Răsăritul)</w:t>
      </w:r>
    </w:p>
    <w:p w14:paraId="5038023E"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„Cel neîncăput S-a lăsat cuprins în pântecele tău.”</w:t>
      </w:r>
      <w:r w:rsidRPr="000334F8">
        <w:rPr>
          <w:rFonts w:ascii="Times New Roman" w:eastAsia="Times New Roman" w:hAnsi="Times New Roman" w:cs="Times New Roman"/>
          <w:color w:val="000000"/>
          <w:kern w:val="0"/>
          <w:sz w:val="26"/>
          <w:szCs w:val="26"/>
          <w:lang w:eastAsia="en-GB"/>
          <w14:ligatures w14:val="none"/>
        </w:rPr>
        <w:br/>
        <w:t>— Grigorie Taumaturgul, </w:t>
      </w:r>
      <w:r w:rsidRPr="000334F8">
        <w:rPr>
          <w:rFonts w:ascii="Times New Roman" w:eastAsia="Times New Roman" w:hAnsi="Times New Roman" w:cs="Times New Roman"/>
          <w:i/>
          <w:iCs/>
          <w:color w:val="000000"/>
          <w:kern w:val="0"/>
          <w:sz w:val="26"/>
          <w:szCs w:val="26"/>
          <w:lang w:eastAsia="en-GB"/>
          <w14:ligatures w14:val="none"/>
        </w:rPr>
        <w:t>Omilie la Buna Vestire</w:t>
      </w:r>
      <w:r w:rsidRPr="000334F8">
        <w:rPr>
          <w:rFonts w:ascii="Times New Roman" w:eastAsia="Times New Roman" w:hAnsi="Times New Roman" w:cs="Times New Roman"/>
          <w:color w:val="000000"/>
          <w:kern w:val="0"/>
          <w:sz w:val="26"/>
          <w:szCs w:val="26"/>
          <w:lang w:eastAsia="en-GB"/>
          <w14:ligatures w14:val="none"/>
        </w:rPr>
        <w:t> (formulă clasică în tradiția greacă).</w:t>
      </w:r>
    </w:p>
    <w:p w14:paraId="0FBAD54D" w14:textId="77777777" w:rsidR="0096116C" w:rsidRPr="000334F8" w:rsidRDefault="0096116C"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„Bucură-te, pod care duci la cer pe cei de pe pământ.”</w:t>
      </w:r>
      <w:r w:rsidRPr="000334F8">
        <w:rPr>
          <w:rFonts w:ascii="Times New Roman" w:eastAsia="Times New Roman" w:hAnsi="Times New Roman" w:cs="Times New Roman"/>
          <w:color w:val="000000"/>
          <w:kern w:val="0"/>
          <w:sz w:val="26"/>
          <w:szCs w:val="26"/>
          <w:lang w:eastAsia="en-GB"/>
          <w14:ligatures w14:val="none"/>
        </w:rPr>
        <w:br/>
        <w:t>— Proclu al Constantinopolului, </w:t>
      </w:r>
      <w:r w:rsidRPr="000334F8">
        <w:rPr>
          <w:rFonts w:ascii="Times New Roman" w:eastAsia="Times New Roman" w:hAnsi="Times New Roman" w:cs="Times New Roman"/>
          <w:i/>
          <w:iCs/>
          <w:color w:val="000000"/>
          <w:kern w:val="0"/>
          <w:sz w:val="26"/>
          <w:szCs w:val="26"/>
          <w:lang w:eastAsia="en-GB"/>
          <w14:ligatures w14:val="none"/>
        </w:rPr>
        <w:t>Omilie la Buna Vestire</w:t>
      </w:r>
      <w:r w:rsidRPr="000334F8">
        <w:rPr>
          <w:rFonts w:ascii="Times New Roman" w:eastAsia="Times New Roman" w:hAnsi="Times New Roman" w:cs="Times New Roman"/>
          <w:color w:val="000000"/>
          <w:kern w:val="0"/>
          <w:sz w:val="26"/>
          <w:szCs w:val="26"/>
          <w:lang w:eastAsia="en-GB"/>
          <w14:ligatures w14:val="none"/>
        </w:rPr>
        <w:t> (imagistica podului).</w:t>
      </w:r>
    </w:p>
    <w:p w14:paraId="0D95971C" w14:textId="1A06C662" w:rsidR="0096116C" w:rsidRPr="000334F8" w:rsidRDefault="00474C62"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Pr>
          <w:rFonts w:ascii="Times New Roman" w:eastAsia="Times New Roman" w:hAnsi="Times New Roman" w:cs="Times New Roman"/>
          <w:color w:val="000000"/>
          <w:kern w:val="0"/>
          <w:sz w:val="26"/>
          <w:szCs w:val="26"/>
          <w:lang w:eastAsia="en-GB"/>
          <w14:ligatures w14:val="none"/>
        </w:rPr>
        <w:t>S</w:t>
      </w:r>
      <w:r w:rsidR="0096116C" w:rsidRPr="000334F8">
        <w:rPr>
          <w:rFonts w:ascii="Times New Roman" w:eastAsia="Times New Roman" w:hAnsi="Times New Roman" w:cs="Times New Roman"/>
          <w:color w:val="000000"/>
          <w:kern w:val="0"/>
          <w:sz w:val="26"/>
          <w:szCs w:val="26"/>
          <w:lang w:eastAsia="en-GB"/>
          <w14:ligatures w14:val="none"/>
        </w:rPr>
        <w:t>peranța creștină are o dimensiune </w:t>
      </w:r>
      <w:r w:rsidR="0096116C" w:rsidRPr="000334F8">
        <w:rPr>
          <w:rFonts w:ascii="Times New Roman" w:eastAsia="Times New Roman" w:hAnsi="Times New Roman" w:cs="Times New Roman"/>
          <w:b/>
          <w:bCs/>
          <w:color w:val="000000"/>
          <w:kern w:val="0"/>
          <w:sz w:val="26"/>
          <w:szCs w:val="26"/>
          <w:lang w:eastAsia="en-GB"/>
          <w14:ligatures w14:val="none"/>
        </w:rPr>
        <w:t>comunitară și „cosmică”</w:t>
      </w:r>
      <w:r w:rsidR="0096116C" w:rsidRPr="000334F8">
        <w:rPr>
          <w:rFonts w:ascii="Times New Roman" w:eastAsia="Times New Roman" w:hAnsi="Times New Roman" w:cs="Times New Roman"/>
          <w:color w:val="000000"/>
          <w:kern w:val="0"/>
          <w:sz w:val="26"/>
          <w:szCs w:val="26"/>
          <w:lang w:eastAsia="en-GB"/>
          <w14:ligatures w14:val="none"/>
        </w:rPr>
        <w:t>, nu doar individualistă.</w:t>
      </w:r>
    </w:p>
    <w:p w14:paraId="43F9EB22"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1D1B01B0"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5. Răbdarea și timpul lui Dumnezeu: antidot al anxietății contemporane</w:t>
      </w:r>
    </w:p>
    <w:p w14:paraId="301C74AF"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Un aspect adesea neglijat, dar decisiv, este pedagogia timpului. Între Buna Vestire și împlinirea promisiunilor se desfășoară un timp lung al așteptării, al tăcerii și al fidelității. Maria nu forțează timpul lui Dumnezeu, ci îl locuiește. Ea „păstrează toate acestea în inima ei”, asumând o răbdare activă, reflexivă și responsabilă. Răbdarea ei nu este inerție, ci maturizare: capacitatea de a rămâne fidel atunci când nu există încă semne vizibile ale împlinirii.</w:t>
      </w:r>
    </w:p>
    <w:p w14:paraId="4EB53CCF"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 xml:space="preserve">Pentru omul contemporan, obișnuit cu instantaneitatea și presiunea rezultatelor rapide, această pedagogie este profund vindecătoare. Multe crize ale speranței provin din incapacitatea de a trăi timpul ca spațiu al maturizării. În România, această dificultate se reflectă în așteptări frânte, în frustrări sociale acumulate și în tentația de a căuta soluții </w:t>
      </w:r>
      <w:r w:rsidRPr="000334F8">
        <w:rPr>
          <w:rFonts w:ascii="Times New Roman" w:eastAsia="Times New Roman" w:hAnsi="Times New Roman" w:cs="Times New Roman"/>
          <w:color w:val="000000"/>
          <w:kern w:val="0"/>
          <w:sz w:val="26"/>
          <w:szCs w:val="26"/>
          <w:lang w:eastAsia="en-GB"/>
          <w14:ligatures w14:val="none"/>
        </w:rPr>
        <w:lastRenderedPageBreak/>
        <w:t>rapide, fie politice, fie culturale, fie psihologice. Maria arată că așteptarea nu este gol sau eșec, ci proces de transformare lentă și profundă. Speranța nu este o scurtă emoție, ci o stabilitate interioară care traversează timpul fără a se epuiza.</w:t>
      </w:r>
    </w:p>
    <w:p w14:paraId="19EAA5DF"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Mai mult, pedagogia timpului sugerează că speranța este inseparabilă de memorie: Maria „păstrează” și „meditează” ceea ce trăiește. Pentru omul contemporan, care consumă rapid informație și uită rapid, această interiorizare este o școală spirituală. Speranța se hrănește din recunoașterea fidelității lui Dumnezeu în trecut, din capacitatea de a interpreta evenimentele nu ca hazard, ci ca drum.</w:t>
      </w:r>
    </w:p>
    <w:p w14:paraId="17EE6018" w14:textId="77777777" w:rsidR="00385AE2" w:rsidRPr="000334F8" w:rsidRDefault="00385AE2"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Răbdarea și timpul lui Dumnezeu – Maria „păstrează” și „meditează”</w:t>
      </w:r>
    </w:p>
    <w:p w14:paraId="2EE935B6" w14:textId="77777777" w:rsidR="00385AE2" w:rsidRPr="000334F8" w:rsidRDefault="00385AE2"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„Maria păstra toate acestea, meditându-le în inima ei.”</w:t>
      </w:r>
      <w:r w:rsidRPr="000334F8">
        <w:rPr>
          <w:rFonts w:ascii="Times New Roman" w:eastAsia="Times New Roman" w:hAnsi="Times New Roman" w:cs="Times New Roman"/>
          <w:color w:val="000000"/>
          <w:kern w:val="0"/>
          <w:sz w:val="26"/>
          <w:szCs w:val="26"/>
          <w:lang w:eastAsia="en-GB"/>
          <w14:ligatures w14:val="none"/>
        </w:rPr>
        <w:br/>
        <w:t>— Lc 2,19.</w:t>
      </w:r>
    </w:p>
    <w:p w14:paraId="78C5B23E" w14:textId="6E78177E" w:rsidR="00385AE2" w:rsidRPr="000334F8" w:rsidRDefault="00385AE2" w:rsidP="000334F8">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„A învățat în tăcere cele ce nu se puteau spune.”</w:t>
      </w:r>
      <w:r w:rsidRPr="000334F8">
        <w:rPr>
          <w:rFonts w:ascii="Times New Roman" w:eastAsia="Times New Roman" w:hAnsi="Times New Roman" w:cs="Times New Roman"/>
          <w:color w:val="000000"/>
          <w:kern w:val="0"/>
          <w:sz w:val="26"/>
          <w:szCs w:val="26"/>
          <w:lang w:eastAsia="en-GB"/>
          <w14:ligatures w14:val="none"/>
        </w:rPr>
        <w:br/>
        <w:t>— (idee des întâlnită în omiletica patristică mariană; se poate cita după Ioan Damaschin / tradiția omiliilor la sărbători).</w:t>
      </w:r>
      <w:r w:rsidR="00474C62">
        <w:rPr>
          <w:rFonts w:ascii="Times New Roman" w:eastAsia="Times New Roman" w:hAnsi="Times New Roman" w:cs="Times New Roman"/>
          <w:color w:val="000000"/>
          <w:kern w:val="0"/>
          <w:sz w:val="26"/>
          <w:szCs w:val="26"/>
          <w:lang w:eastAsia="en-GB"/>
          <w14:ligatures w14:val="none"/>
        </w:rPr>
        <w:t xml:space="preserve"> S</w:t>
      </w:r>
      <w:r w:rsidRPr="000334F8">
        <w:rPr>
          <w:rFonts w:ascii="Times New Roman" w:eastAsia="Times New Roman" w:hAnsi="Times New Roman" w:cs="Times New Roman"/>
          <w:color w:val="000000"/>
          <w:kern w:val="0"/>
          <w:sz w:val="26"/>
          <w:szCs w:val="26"/>
          <w:lang w:eastAsia="en-GB"/>
          <w14:ligatures w14:val="none"/>
        </w:rPr>
        <w:t>peranța se formează în </w:t>
      </w:r>
      <w:r w:rsidRPr="000334F8">
        <w:rPr>
          <w:rFonts w:ascii="Times New Roman" w:eastAsia="Times New Roman" w:hAnsi="Times New Roman" w:cs="Times New Roman"/>
          <w:b/>
          <w:bCs/>
          <w:color w:val="000000"/>
          <w:kern w:val="0"/>
          <w:sz w:val="26"/>
          <w:szCs w:val="26"/>
          <w:lang w:eastAsia="en-GB"/>
          <w14:ligatures w14:val="none"/>
        </w:rPr>
        <w:t>durata</w:t>
      </w:r>
      <w:r w:rsidRPr="000334F8">
        <w:rPr>
          <w:rFonts w:ascii="Times New Roman" w:eastAsia="Times New Roman" w:hAnsi="Times New Roman" w:cs="Times New Roman"/>
          <w:color w:val="000000"/>
          <w:kern w:val="0"/>
          <w:sz w:val="26"/>
          <w:szCs w:val="26"/>
          <w:lang w:eastAsia="en-GB"/>
          <w14:ligatures w14:val="none"/>
        </w:rPr>
        <w:t> credinței, nu în instantaneu.</w:t>
      </w:r>
    </w:p>
    <w:p w14:paraId="5DA4D78F" w14:textId="77777777" w:rsidR="00385AE2" w:rsidRPr="000334F8" w:rsidRDefault="00385AE2"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p>
    <w:p w14:paraId="59EA193A" w14:textId="77777777"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Concluzie. Maria ca figură a speranței integrate</w:t>
      </w:r>
    </w:p>
    <w:p w14:paraId="04D6AF46"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În lumina reflecției patristice și a aplicării contextuale, Fecioara Maria se conturează ca o figură de o actualitate remarcabilă pentru creștinul român de astăzi. Ea nu oferă soluții magice și nici rețete rapide, ci un mod de a trăi speranța ca fidelitate, responsabilitate și comuniune. Maria arată că speranța este posibilă chiar în fragilitate, că libertatea poate fi matură, că suferința poate deveni loc de sens și că istoria rămâne deschisă. Într-o societate tentată fie de cinism, fie de auto-suficiență, Maria reprezintă o alternativă antropologică: omul poate rămâne liber fără a se izola și poate suferi fără a dispera.</w:t>
      </w:r>
    </w:p>
    <w:p w14:paraId="3B0EC4CE" w14:textId="77777777" w:rsidR="0096116C" w:rsidRPr="000334F8" w:rsidRDefault="0096116C" w:rsidP="000334F8">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color w:val="000000"/>
          <w:kern w:val="0"/>
          <w:sz w:val="26"/>
          <w:szCs w:val="26"/>
          <w:lang w:eastAsia="en-GB"/>
          <w14:ligatures w14:val="none"/>
        </w:rPr>
        <w:t>De aceea, Biserica o numește pe drept Maica speranței: nu ca substitut al lui Hristos, ci ca martor viu al fidelității lui Dumnezeu față de om și față de istorie. În Maria, speranța nu rămâne idee, ci capătă formă existențială: răspuns, răbdare, comuniune, prezență. Pentru creștinul român de astăzi, aceasta înseamnă că speranța nu este un lux spiritual, ci o forță de reconstrucție interioară și comunitară, capabilă să redea sens, să reîntemeieze legături și să deschidă viitorul acolo unde pare închis.</w:t>
      </w:r>
    </w:p>
    <w:p w14:paraId="1A09C824" w14:textId="574B80E9" w:rsidR="000334F8" w:rsidRDefault="000334F8">
      <w:pPr>
        <w:rPr>
          <w:rFonts w:ascii="Times New Roman" w:eastAsia="Times New Roman" w:hAnsi="Times New Roman" w:cs="Times New Roman"/>
          <w:kern w:val="0"/>
          <w:sz w:val="26"/>
          <w:szCs w:val="26"/>
          <w:lang w:eastAsia="en-GB"/>
          <w14:ligatures w14:val="none"/>
        </w:rPr>
      </w:pPr>
      <w:r>
        <w:rPr>
          <w:rFonts w:ascii="Times New Roman" w:eastAsia="Times New Roman" w:hAnsi="Times New Roman" w:cs="Times New Roman"/>
          <w:kern w:val="0"/>
          <w:sz w:val="26"/>
          <w:szCs w:val="26"/>
          <w:lang w:eastAsia="en-GB"/>
          <w14:ligatures w14:val="none"/>
        </w:rPr>
        <w:br w:type="page"/>
      </w:r>
    </w:p>
    <w:p w14:paraId="069D5D24" w14:textId="77777777" w:rsidR="0096116C" w:rsidRPr="000334F8" w:rsidRDefault="0096116C" w:rsidP="000334F8">
      <w:pPr>
        <w:spacing w:after="0" w:line="240" w:lineRule="auto"/>
        <w:jc w:val="both"/>
        <w:rPr>
          <w:rFonts w:ascii="Times New Roman" w:eastAsia="Times New Roman" w:hAnsi="Times New Roman" w:cs="Times New Roman"/>
          <w:kern w:val="0"/>
          <w:sz w:val="26"/>
          <w:szCs w:val="26"/>
          <w:lang w:eastAsia="en-GB"/>
          <w14:ligatures w14:val="none"/>
        </w:rPr>
      </w:pPr>
    </w:p>
    <w:p w14:paraId="044FBF5C" w14:textId="34911604" w:rsidR="0096116C" w:rsidRPr="000334F8" w:rsidRDefault="0096116C" w:rsidP="000334F8">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Bibliografie selectivă</w:t>
      </w:r>
    </w:p>
    <w:p w14:paraId="026CDB55" w14:textId="77777777" w:rsidR="0096116C" w:rsidRPr="000334F8" w:rsidRDefault="0096116C"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A. Surse patristice primare</w:t>
      </w:r>
    </w:p>
    <w:p w14:paraId="2526F41E" w14:textId="5D2613A0"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Irénée de Lyon</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Contre les hérésies (Adversus haereses)</w:t>
      </w:r>
      <w:r w:rsidRPr="000334F8">
        <w:rPr>
          <w:rFonts w:ascii="Times New Roman" w:eastAsia="Times New Roman" w:hAnsi="Times New Roman" w:cs="Times New Roman"/>
          <w:color w:val="000000"/>
          <w:kern w:val="0"/>
          <w:sz w:val="26"/>
          <w:szCs w:val="26"/>
          <w:lang w:eastAsia="en-GB"/>
          <w14:ligatures w14:val="none"/>
        </w:rPr>
        <w:t>, éd. A. Rousseau – L. Doutreleau, </w:t>
      </w:r>
      <w:r w:rsidRPr="000334F8">
        <w:rPr>
          <w:rFonts w:ascii="Times New Roman" w:eastAsia="Times New Roman" w:hAnsi="Times New Roman" w:cs="Times New Roman"/>
          <w:b/>
          <w:bCs/>
          <w:color w:val="000000"/>
          <w:kern w:val="0"/>
          <w:sz w:val="26"/>
          <w:szCs w:val="26"/>
          <w:lang w:eastAsia="en-GB"/>
          <w14:ligatures w14:val="none"/>
        </w:rPr>
        <w:t>Sources Chrétiennes</w:t>
      </w:r>
      <w:r w:rsidR="00303BFC">
        <w:rPr>
          <w:rFonts w:ascii="Times New Roman" w:eastAsia="Times New Roman" w:hAnsi="Times New Roman" w:cs="Times New Roman"/>
          <w:b/>
          <w:bCs/>
          <w:color w:val="000000"/>
          <w:kern w:val="0"/>
          <w:sz w:val="26"/>
          <w:szCs w:val="26"/>
          <w:lang w:eastAsia="en-GB"/>
          <w14:ligatures w14:val="none"/>
        </w:rPr>
        <w:t xml:space="preserve"> </w:t>
      </w:r>
      <w:r w:rsidRPr="000334F8">
        <w:rPr>
          <w:rFonts w:ascii="Times New Roman" w:eastAsia="Times New Roman" w:hAnsi="Times New Roman" w:cs="Times New Roman"/>
          <w:color w:val="000000"/>
          <w:kern w:val="0"/>
          <w:sz w:val="26"/>
          <w:szCs w:val="26"/>
          <w:lang w:eastAsia="en-GB"/>
          <w14:ligatures w14:val="none"/>
        </w:rPr>
        <w:t>211–212, Cerf, Paris, 1974–1982.</w:t>
      </w:r>
    </w:p>
    <w:p w14:paraId="626FEB21"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Sf. Irineu de Lyon</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Împotriva ereziilor</w:t>
      </w:r>
      <w:r w:rsidRPr="000334F8">
        <w:rPr>
          <w:rFonts w:ascii="Times New Roman" w:eastAsia="Times New Roman" w:hAnsi="Times New Roman" w:cs="Times New Roman"/>
          <w:color w:val="000000"/>
          <w:kern w:val="0"/>
          <w:sz w:val="26"/>
          <w:szCs w:val="26"/>
          <w:lang w:eastAsia="en-GB"/>
          <w14:ligatures w14:val="none"/>
        </w:rPr>
        <w:t>, trad. Pr. Eugen Munteanu, </w:t>
      </w:r>
      <w:r w:rsidRPr="000334F8">
        <w:rPr>
          <w:rFonts w:ascii="Times New Roman" w:eastAsia="Times New Roman" w:hAnsi="Times New Roman" w:cs="Times New Roman"/>
          <w:b/>
          <w:bCs/>
          <w:color w:val="000000"/>
          <w:kern w:val="0"/>
          <w:sz w:val="26"/>
          <w:szCs w:val="26"/>
          <w:lang w:eastAsia="en-GB"/>
          <w14:ligatures w14:val="none"/>
        </w:rPr>
        <w:t>PSB</w:t>
      </w:r>
      <w:r w:rsidRPr="000334F8">
        <w:rPr>
          <w:rFonts w:ascii="Times New Roman" w:eastAsia="Times New Roman" w:hAnsi="Times New Roman" w:cs="Times New Roman"/>
          <w:color w:val="000000"/>
          <w:kern w:val="0"/>
          <w:sz w:val="26"/>
          <w:szCs w:val="26"/>
          <w:lang w:eastAsia="en-GB"/>
          <w14:ligatures w14:val="none"/>
        </w:rPr>
        <w:t> 11, IBMBOR, București, 1998.</w:t>
      </w:r>
    </w:p>
    <w:p w14:paraId="7A9C45B9"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Ephrem de Nisibe</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Hymnes sur la Nativité</w:t>
      </w:r>
      <w:r w:rsidRPr="000334F8">
        <w:rPr>
          <w:rFonts w:ascii="Times New Roman" w:eastAsia="Times New Roman" w:hAnsi="Times New Roman" w:cs="Times New Roman"/>
          <w:color w:val="000000"/>
          <w:kern w:val="0"/>
          <w:sz w:val="26"/>
          <w:szCs w:val="26"/>
          <w:lang w:eastAsia="en-GB"/>
          <w14:ligatures w14:val="none"/>
        </w:rPr>
        <w:t>, éd. et trad. E. Beck, </w:t>
      </w:r>
      <w:r w:rsidRPr="000334F8">
        <w:rPr>
          <w:rFonts w:ascii="Times New Roman" w:eastAsia="Times New Roman" w:hAnsi="Times New Roman" w:cs="Times New Roman"/>
          <w:b/>
          <w:bCs/>
          <w:color w:val="000000"/>
          <w:kern w:val="0"/>
          <w:sz w:val="26"/>
          <w:szCs w:val="26"/>
          <w:lang w:eastAsia="en-GB"/>
          <w14:ligatures w14:val="none"/>
        </w:rPr>
        <w:t>Sources Chrétiennes</w:t>
      </w:r>
      <w:r w:rsidRPr="000334F8">
        <w:rPr>
          <w:rFonts w:ascii="Times New Roman" w:eastAsia="Times New Roman" w:hAnsi="Times New Roman" w:cs="Times New Roman"/>
          <w:color w:val="000000"/>
          <w:kern w:val="0"/>
          <w:sz w:val="26"/>
          <w:szCs w:val="26"/>
          <w:lang w:eastAsia="en-GB"/>
          <w14:ligatures w14:val="none"/>
        </w:rPr>
        <w:t> 459–460, Cerf, Paris, 2001.</w:t>
      </w:r>
    </w:p>
    <w:p w14:paraId="582BCA42"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Sf. Efrem Sirul</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Imnele Nașterii</w:t>
      </w:r>
      <w:r w:rsidRPr="000334F8">
        <w:rPr>
          <w:rFonts w:ascii="Times New Roman" w:eastAsia="Times New Roman" w:hAnsi="Times New Roman" w:cs="Times New Roman"/>
          <w:color w:val="000000"/>
          <w:kern w:val="0"/>
          <w:sz w:val="26"/>
          <w:szCs w:val="26"/>
          <w:lang w:eastAsia="en-GB"/>
          <w14:ligatures w14:val="none"/>
        </w:rPr>
        <w:t>, în </w:t>
      </w:r>
      <w:r w:rsidRPr="000334F8">
        <w:rPr>
          <w:rFonts w:ascii="Times New Roman" w:eastAsia="Times New Roman" w:hAnsi="Times New Roman" w:cs="Times New Roman"/>
          <w:i/>
          <w:iCs/>
          <w:color w:val="000000"/>
          <w:kern w:val="0"/>
          <w:sz w:val="26"/>
          <w:szCs w:val="26"/>
          <w:lang w:eastAsia="en-GB"/>
          <w14:ligatures w14:val="none"/>
        </w:rPr>
        <w:t>Opere</w:t>
      </w:r>
      <w:r w:rsidRPr="000334F8">
        <w:rPr>
          <w:rFonts w:ascii="Times New Roman" w:eastAsia="Times New Roman" w:hAnsi="Times New Roman" w:cs="Times New Roman"/>
          <w:color w:val="000000"/>
          <w:kern w:val="0"/>
          <w:sz w:val="26"/>
          <w:szCs w:val="26"/>
          <w:lang w:eastAsia="en-GB"/>
          <w14:ligatures w14:val="none"/>
        </w:rPr>
        <w:t>, trad. Pr. Ioan Ică jr., Deisis, Sibiu, 1999.</w:t>
      </w:r>
    </w:p>
    <w:p w14:paraId="22FB3027"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Grégoire le Thaumaturge</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Homélie sur l’Annonciation</w:t>
      </w:r>
      <w:r w:rsidRPr="000334F8">
        <w:rPr>
          <w:rFonts w:ascii="Times New Roman" w:eastAsia="Times New Roman" w:hAnsi="Times New Roman" w:cs="Times New Roman"/>
          <w:color w:val="000000"/>
          <w:kern w:val="0"/>
          <w:sz w:val="26"/>
          <w:szCs w:val="26"/>
          <w:lang w:eastAsia="en-GB"/>
          <w14:ligatures w14:val="none"/>
        </w:rPr>
        <w:t>, éd. M. Aubineau, </w:t>
      </w:r>
      <w:r w:rsidRPr="000334F8">
        <w:rPr>
          <w:rFonts w:ascii="Times New Roman" w:eastAsia="Times New Roman" w:hAnsi="Times New Roman" w:cs="Times New Roman"/>
          <w:b/>
          <w:bCs/>
          <w:color w:val="000000"/>
          <w:kern w:val="0"/>
          <w:sz w:val="26"/>
          <w:szCs w:val="26"/>
          <w:lang w:eastAsia="en-GB"/>
          <w14:ligatures w14:val="none"/>
        </w:rPr>
        <w:t>Sources Chrétiennes</w:t>
      </w:r>
      <w:r w:rsidRPr="000334F8">
        <w:rPr>
          <w:rFonts w:ascii="Times New Roman" w:eastAsia="Times New Roman" w:hAnsi="Times New Roman" w:cs="Times New Roman"/>
          <w:color w:val="000000"/>
          <w:kern w:val="0"/>
          <w:sz w:val="26"/>
          <w:szCs w:val="26"/>
          <w:lang w:eastAsia="en-GB"/>
          <w14:ligatures w14:val="none"/>
        </w:rPr>
        <w:t> 245, Cerf, Paris, 1977.</w:t>
      </w:r>
    </w:p>
    <w:p w14:paraId="19730A68"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Proclus de Constantinople</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Homélies</w:t>
      </w:r>
      <w:r w:rsidRPr="000334F8">
        <w:rPr>
          <w:rFonts w:ascii="Times New Roman" w:eastAsia="Times New Roman" w:hAnsi="Times New Roman" w:cs="Times New Roman"/>
          <w:color w:val="000000"/>
          <w:kern w:val="0"/>
          <w:sz w:val="26"/>
          <w:szCs w:val="26"/>
          <w:lang w:eastAsia="en-GB"/>
          <w14:ligatures w14:val="none"/>
        </w:rPr>
        <w:t>, éd. F. Leroy, </w:t>
      </w:r>
      <w:r w:rsidRPr="000334F8">
        <w:rPr>
          <w:rFonts w:ascii="Times New Roman" w:eastAsia="Times New Roman" w:hAnsi="Times New Roman" w:cs="Times New Roman"/>
          <w:b/>
          <w:bCs/>
          <w:color w:val="000000"/>
          <w:kern w:val="0"/>
          <w:sz w:val="26"/>
          <w:szCs w:val="26"/>
          <w:lang w:eastAsia="en-GB"/>
          <w14:ligatures w14:val="none"/>
        </w:rPr>
        <w:t>Sources Chrétiennes</w:t>
      </w:r>
      <w:r w:rsidRPr="000334F8">
        <w:rPr>
          <w:rFonts w:ascii="Times New Roman" w:eastAsia="Times New Roman" w:hAnsi="Times New Roman" w:cs="Times New Roman"/>
          <w:color w:val="000000"/>
          <w:kern w:val="0"/>
          <w:sz w:val="26"/>
          <w:szCs w:val="26"/>
          <w:lang w:eastAsia="en-GB"/>
          <w14:ligatures w14:val="none"/>
        </w:rPr>
        <w:t> 362, Cerf, Paris, 1990.</w:t>
      </w:r>
    </w:p>
    <w:p w14:paraId="6D630122" w14:textId="77777777" w:rsidR="0096116C" w:rsidRPr="000334F8" w:rsidRDefault="0096116C" w:rsidP="000334F8">
      <w:pPr>
        <w:numPr>
          <w:ilvl w:val="0"/>
          <w:numId w:val="18"/>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Jean Damascène</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Homélies sur la Dormition</w:t>
      </w:r>
      <w:r w:rsidRPr="000334F8">
        <w:rPr>
          <w:rFonts w:ascii="Times New Roman" w:eastAsia="Times New Roman" w:hAnsi="Times New Roman" w:cs="Times New Roman"/>
          <w:color w:val="000000"/>
          <w:kern w:val="0"/>
          <w:sz w:val="26"/>
          <w:szCs w:val="26"/>
          <w:lang w:eastAsia="en-GB"/>
          <w14:ligatures w14:val="none"/>
        </w:rPr>
        <w:t>, éd. B. Kotter, </w:t>
      </w:r>
      <w:r w:rsidRPr="000334F8">
        <w:rPr>
          <w:rFonts w:ascii="Times New Roman" w:eastAsia="Times New Roman" w:hAnsi="Times New Roman" w:cs="Times New Roman"/>
          <w:b/>
          <w:bCs/>
          <w:color w:val="000000"/>
          <w:kern w:val="0"/>
          <w:sz w:val="26"/>
          <w:szCs w:val="26"/>
          <w:lang w:eastAsia="en-GB"/>
          <w14:ligatures w14:val="none"/>
        </w:rPr>
        <w:t>Sources Chrétiennes</w:t>
      </w:r>
      <w:r w:rsidRPr="000334F8">
        <w:rPr>
          <w:rFonts w:ascii="Times New Roman" w:eastAsia="Times New Roman" w:hAnsi="Times New Roman" w:cs="Times New Roman"/>
          <w:color w:val="000000"/>
          <w:kern w:val="0"/>
          <w:sz w:val="26"/>
          <w:szCs w:val="26"/>
          <w:lang w:eastAsia="en-GB"/>
          <w14:ligatures w14:val="none"/>
        </w:rPr>
        <w:t> 80–81, Cerf, Paris, 1961.</w:t>
      </w:r>
    </w:p>
    <w:p w14:paraId="0A2F6EE4" w14:textId="77777777" w:rsidR="0096116C" w:rsidRPr="000334F8" w:rsidRDefault="0096116C" w:rsidP="000334F8">
      <w:pPr>
        <w:spacing w:before="100" w:beforeAutospacing="1" w:after="100" w:afterAutospacing="1" w:line="240" w:lineRule="auto"/>
        <w:jc w:val="both"/>
        <w:outlineLvl w:val="2"/>
        <w:rPr>
          <w:rFonts w:ascii="Times New Roman" w:eastAsia="Times New Roman" w:hAnsi="Times New Roman" w:cs="Times New Roman"/>
          <w:b/>
          <w:bCs/>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B. Instrumente și sinteze utile (occidentale, academice)</w:t>
      </w:r>
    </w:p>
    <w:p w14:paraId="58BDC5C4" w14:textId="77777777" w:rsidR="0096116C" w:rsidRPr="000334F8" w:rsidRDefault="0096116C" w:rsidP="000334F8">
      <w:pPr>
        <w:numPr>
          <w:ilvl w:val="0"/>
          <w:numId w:val="1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Luigi Gambero</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Mary and the Fathers of the Church: The Blessed Virgin Mary in Patristic Thought</w:t>
      </w:r>
      <w:r w:rsidRPr="000334F8">
        <w:rPr>
          <w:rFonts w:ascii="Times New Roman" w:eastAsia="Times New Roman" w:hAnsi="Times New Roman" w:cs="Times New Roman"/>
          <w:color w:val="000000"/>
          <w:kern w:val="0"/>
          <w:sz w:val="26"/>
          <w:szCs w:val="26"/>
          <w:lang w:eastAsia="en-GB"/>
          <w14:ligatures w14:val="none"/>
        </w:rPr>
        <w:t>, Ignatius Press, San Francisco, 1999.</w:t>
      </w:r>
    </w:p>
    <w:p w14:paraId="0358DF1A" w14:textId="77777777" w:rsidR="0096116C" w:rsidRPr="000334F8" w:rsidRDefault="0096116C" w:rsidP="000334F8">
      <w:pPr>
        <w:numPr>
          <w:ilvl w:val="0"/>
          <w:numId w:val="1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Brian E. Daley, S.J.</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On the Dormition of Mary: Early Patristic Homilies</w:t>
      </w:r>
      <w:r w:rsidRPr="000334F8">
        <w:rPr>
          <w:rFonts w:ascii="Times New Roman" w:eastAsia="Times New Roman" w:hAnsi="Times New Roman" w:cs="Times New Roman"/>
          <w:color w:val="000000"/>
          <w:kern w:val="0"/>
          <w:sz w:val="26"/>
          <w:szCs w:val="26"/>
          <w:lang w:eastAsia="en-GB"/>
          <w14:ligatures w14:val="none"/>
        </w:rPr>
        <w:t>, St Vladimir’s Seminary Press, Crestwood, 1998.</w:t>
      </w:r>
    </w:p>
    <w:p w14:paraId="03739555" w14:textId="77777777" w:rsidR="0096116C" w:rsidRPr="000334F8" w:rsidRDefault="0096116C" w:rsidP="000334F8">
      <w:pPr>
        <w:numPr>
          <w:ilvl w:val="0"/>
          <w:numId w:val="19"/>
        </w:num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0334F8">
        <w:rPr>
          <w:rFonts w:ascii="Times New Roman" w:eastAsia="Times New Roman" w:hAnsi="Times New Roman" w:cs="Times New Roman"/>
          <w:b/>
          <w:bCs/>
          <w:color w:val="000000"/>
          <w:kern w:val="0"/>
          <w:sz w:val="26"/>
          <w:szCs w:val="26"/>
          <w:lang w:eastAsia="en-GB"/>
          <w14:ligatures w14:val="none"/>
        </w:rPr>
        <w:t>René Laurentin</w:t>
      </w:r>
      <w:r w:rsidRPr="000334F8">
        <w:rPr>
          <w:rFonts w:ascii="Times New Roman" w:eastAsia="Times New Roman" w:hAnsi="Times New Roman" w:cs="Times New Roman"/>
          <w:color w:val="000000"/>
          <w:kern w:val="0"/>
          <w:sz w:val="26"/>
          <w:szCs w:val="26"/>
          <w:lang w:eastAsia="en-GB"/>
          <w14:ligatures w14:val="none"/>
        </w:rPr>
        <w:t>, </w:t>
      </w:r>
      <w:r w:rsidRPr="000334F8">
        <w:rPr>
          <w:rFonts w:ascii="Times New Roman" w:eastAsia="Times New Roman" w:hAnsi="Times New Roman" w:cs="Times New Roman"/>
          <w:i/>
          <w:iCs/>
          <w:color w:val="000000"/>
          <w:kern w:val="0"/>
          <w:sz w:val="26"/>
          <w:szCs w:val="26"/>
          <w:lang w:eastAsia="en-GB"/>
          <w14:ligatures w14:val="none"/>
        </w:rPr>
        <w:t>La Vierge Marie et l’Église</w:t>
      </w:r>
      <w:r w:rsidRPr="000334F8">
        <w:rPr>
          <w:rFonts w:ascii="Times New Roman" w:eastAsia="Times New Roman" w:hAnsi="Times New Roman" w:cs="Times New Roman"/>
          <w:color w:val="000000"/>
          <w:kern w:val="0"/>
          <w:sz w:val="26"/>
          <w:szCs w:val="26"/>
          <w:lang w:eastAsia="en-GB"/>
          <w14:ligatures w14:val="none"/>
        </w:rPr>
        <w:t>, Desclée, Paris, (ed. clasică; pentru cadre teologice).</w:t>
      </w:r>
    </w:p>
    <w:p w14:paraId="69D2B283" w14:textId="7C9D8CF0" w:rsidR="0096116C" w:rsidRDefault="00234B9B" w:rsidP="00234B9B">
      <w:pPr>
        <w:spacing w:before="100" w:beforeAutospacing="1" w:after="100" w:afterAutospacing="1" w:line="240" w:lineRule="auto"/>
        <w:jc w:val="right"/>
        <w:outlineLvl w:val="0"/>
        <w:rPr>
          <w:rFonts w:ascii="Times New Roman" w:hAnsi="Times New Roman" w:cs="Times New Roman"/>
          <w:sz w:val="26"/>
          <w:szCs w:val="26"/>
        </w:rPr>
      </w:pPr>
      <w:r>
        <w:rPr>
          <w:rFonts w:ascii="Times New Roman" w:hAnsi="Times New Roman" w:cs="Times New Roman"/>
          <w:sz w:val="26"/>
          <w:szCs w:val="26"/>
        </w:rPr>
        <w:t>Emil DUMEA, 18 XII 2025</w:t>
      </w:r>
    </w:p>
    <w:p w14:paraId="6F004945" w14:textId="7907D1C7" w:rsidR="00CB118B" w:rsidRDefault="00CB118B">
      <w:pPr>
        <w:rPr>
          <w:rFonts w:ascii="Times New Roman" w:hAnsi="Times New Roman" w:cs="Times New Roman"/>
          <w:sz w:val="26"/>
          <w:szCs w:val="26"/>
        </w:rPr>
      </w:pPr>
      <w:r>
        <w:rPr>
          <w:rFonts w:ascii="Times New Roman" w:hAnsi="Times New Roman" w:cs="Times New Roman"/>
          <w:sz w:val="26"/>
          <w:szCs w:val="26"/>
        </w:rPr>
        <w:br w:type="page"/>
      </w:r>
    </w:p>
    <w:p w14:paraId="04C26889" w14:textId="77777777" w:rsidR="00CB118B" w:rsidRPr="00CB118B" w:rsidRDefault="00CB118B" w:rsidP="00CB118B">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CB118B">
        <w:rPr>
          <w:rFonts w:ascii="Times New Roman" w:eastAsia="Times New Roman" w:hAnsi="Times New Roman" w:cs="Times New Roman"/>
          <w:b/>
          <w:bCs/>
          <w:color w:val="000000"/>
          <w:kern w:val="36"/>
          <w:sz w:val="26"/>
          <w:szCs w:val="26"/>
          <w:lang w:eastAsia="en-GB"/>
          <w14:ligatures w14:val="none"/>
        </w:rPr>
        <w:lastRenderedPageBreak/>
        <w:t>The Blessed Virgin Mary, Source of Hope</w:t>
      </w:r>
    </w:p>
    <w:p w14:paraId="31310498"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i/>
          <w:iCs/>
          <w:color w:val="000000"/>
          <w:kern w:val="0"/>
          <w:sz w:val="26"/>
          <w:szCs w:val="26"/>
          <w:lang w:eastAsia="en-GB"/>
          <w14:ligatures w14:val="none"/>
        </w:rPr>
        <w:t>Patristic Reflections Addressed to the Contemporary Person</w:t>
      </w:r>
    </w:p>
    <w:p w14:paraId="408A173B" w14:textId="24B513A7" w:rsidR="00CB118B" w:rsidRPr="00CB118B" w:rsidRDefault="00CB118B" w:rsidP="00CB118B">
      <w:pPr>
        <w:spacing w:after="0" w:line="240" w:lineRule="auto"/>
        <w:jc w:val="both"/>
        <w:rPr>
          <w:rFonts w:ascii="Times New Roman" w:eastAsia="Times New Roman" w:hAnsi="Times New Roman" w:cs="Times New Roman"/>
          <w:kern w:val="0"/>
          <w:sz w:val="26"/>
          <w:szCs w:val="26"/>
          <w:lang w:eastAsia="en-GB"/>
          <w14:ligatures w14:val="none"/>
        </w:rPr>
      </w:pPr>
    </w:p>
    <w:p w14:paraId="0CAA0E60"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Introduction. The Crisis of Hope and the Contemporary Relevance of the Marian Figure</w:t>
      </w:r>
    </w:p>
    <w:p w14:paraId="72F6277A"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Contemporary Romania is experiencing a period marked by a profound structural tension between aspiration and disillusionment, between the legitimate desire for stability and the persistent experience of precariousness. After decades of political, economic, and cultural transition, Romanian society manifests a deep fatigue that is not merely material, but also symbolic, moral, and spiritual. Massive labor migration has produced familial and communal ruptures that are difficult to heal; the fragilization of the family institution and excessive individualization have weakened traditional mechanisms of solidarity; economic insecurity and social polarization have intensified a sense of injustice and lack of perspective; while declining trust in institutions has fostered a generalized climate of skepticism. In this context, for many people, the future no longer appears as a promise but as a source of anxiety, and the present is lived under the sign of constant pressure and a lack of horizon.</w:t>
      </w:r>
    </w:p>
    <w:p w14:paraId="685572C5"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such circumstances, hope risks being reduced either to a fragile psychological optimism meant to dampen daily tensions, or to a purely consolatory religious discourse devoid of transformative power. Christian tradition, however, does not understand hope as an affective disposition or as a strategy of adaptation to adverse conditions, but as a </w:t>
      </w:r>
      <w:r w:rsidRPr="00CB118B">
        <w:rPr>
          <w:rFonts w:ascii="Times New Roman" w:eastAsia="Times New Roman" w:hAnsi="Times New Roman" w:cs="Times New Roman"/>
          <w:b/>
          <w:bCs/>
          <w:color w:val="000000"/>
          <w:kern w:val="0"/>
          <w:sz w:val="26"/>
          <w:szCs w:val="26"/>
          <w:lang w:eastAsia="en-GB"/>
          <w14:ligatures w14:val="none"/>
        </w:rPr>
        <w:t>theological virtue</w:t>
      </w:r>
      <w:r w:rsidRPr="00CB118B">
        <w:rPr>
          <w:rFonts w:ascii="Times New Roman" w:eastAsia="Times New Roman" w:hAnsi="Times New Roman" w:cs="Times New Roman"/>
          <w:color w:val="000000"/>
          <w:kern w:val="0"/>
          <w:sz w:val="26"/>
          <w:szCs w:val="26"/>
          <w:lang w:eastAsia="en-GB"/>
          <w14:ligatures w14:val="none"/>
        </w:rPr>
        <w:t>, that is, as the human person’s participation in God’s fidelity to history. Hope does not spring from humanity’s capacity to control the future or to avoid suffering, but from trust that history remains open to divine action even when human perspectives appear exhausted. Within Christian logic, hope is first and foremost a relational category: it rests upon the promise of a God who does not abandon creation and who does not withdraw meaning when humanity encounters its own limits.</w:t>
      </w:r>
    </w:p>
    <w:p w14:paraId="5772EC0C" w14:textId="4A1FAC8C"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From this perspective, the figure of the Blessed Virgin Mary occupies a central and irreducible place. Patristic reflection does not present Mary as an inaccessible ideal or as an abstract symbol, but as a real historical person, situated within a context of precariousness, risk, and vulnerability. In her person converge the tensions, wounds, and promises of the human condition assumed by God. Mary thus becomes a privileged </w:t>
      </w:r>
      <w:r w:rsidRPr="00CB118B">
        <w:rPr>
          <w:rFonts w:ascii="Times New Roman" w:eastAsia="Times New Roman" w:hAnsi="Times New Roman" w:cs="Times New Roman"/>
          <w:b/>
          <w:bCs/>
          <w:color w:val="000000"/>
          <w:kern w:val="0"/>
          <w:sz w:val="26"/>
          <w:szCs w:val="26"/>
          <w:lang w:eastAsia="en-GB"/>
          <w14:ligatures w14:val="none"/>
        </w:rPr>
        <w:t>“theological locus,”</w:t>
      </w:r>
      <w:r w:rsidRPr="00CB118B">
        <w:rPr>
          <w:rFonts w:ascii="Times New Roman" w:eastAsia="Times New Roman" w:hAnsi="Times New Roman" w:cs="Times New Roman"/>
          <w:color w:val="000000"/>
          <w:kern w:val="0"/>
          <w:sz w:val="26"/>
          <w:szCs w:val="26"/>
          <w:lang w:eastAsia="en-GB"/>
          <w14:ligatures w14:val="none"/>
        </w:rPr>
        <w:t> in which one can observe how Christian hope is born, matures, and is verified within concrete conditions of life—not outside history, but at its very heart. She is not merely the recipient of a promise, but also the subject of a response: in Mary, hope appears as the encounter between divine initiative and human freedom.</w:t>
      </w:r>
    </w:p>
    <w:p w14:paraId="6ED67514"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1. Mary and the Hope of History Renewed: The Irenaean Perspective</w:t>
      </w:r>
    </w:p>
    <w:p w14:paraId="34566F9C"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One of the fundamental nuclei of patristic theology is the theme of </w:t>
      </w:r>
      <w:r w:rsidRPr="00CB118B">
        <w:rPr>
          <w:rFonts w:ascii="Times New Roman" w:eastAsia="Times New Roman" w:hAnsi="Times New Roman" w:cs="Times New Roman"/>
          <w:b/>
          <w:bCs/>
          <w:color w:val="000000"/>
          <w:kern w:val="0"/>
          <w:sz w:val="26"/>
          <w:szCs w:val="26"/>
          <w:lang w:eastAsia="en-GB"/>
          <w14:ligatures w14:val="none"/>
        </w:rPr>
        <w:t>history renewed</w:t>
      </w:r>
      <w:r w:rsidRPr="00CB118B">
        <w:rPr>
          <w:rFonts w:ascii="Times New Roman" w:eastAsia="Times New Roman" w:hAnsi="Times New Roman" w:cs="Times New Roman"/>
          <w:color w:val="000000"/>
          <w:kern w:val="0"/>
          <w:sz w:val="26"/>
          <w:szCs w:val="26"/>
          <w:lang w:eastAsia="en-GB"/>
          <w14:ligatures w14:val="none"/>
        </w:rPr>
        <w:t>, articulated with particular rigor by Saint Irenaeus of Lyons in his doctrine of </w:t>
      </w:r>
      <w:r w:rsidRPr="00CB118B">
        <w:rPr>
          <w:rFonts w:ascii="Times New Roman" w:eastAsia="Times New Roman" w:hAnsi="Times New Roman" w:cs="Times New Roman"/>
          <w:i/>
          <w:iCs/>
          <w:color w:val="000000"/>
          <w:kern w:val="0"/>
          <w:sz w:val="26"/>
          <w:szCs w:val="26"/>
          <w:lang w:eastAsia="en-GB"/>
          <w14:ligatures w14:val="none"/>
        </w:rPr>
        <w:t>recapitulation</w:t>
      </w:r>
      <w:r w:rsidRPr="00CB118B">
        <w:rPr>
          <w:rFonts w:ascii="Times New Roman" w:eastAsia="Times New Roman" w:hAnsi="Times New Roman" w:cs="Times New Roman"/>
          <w:color w:val="000000"/>
          <w:kern w:val="0"/>
          <w:sz w:val="26"/>
          <w:szCs w:val="26"/>
          <w:lang w:eastAsia="en-GB"/>
          <w14:ligatures w14:val="none"/>
        </w:rPr>
        <w:t> (</w:t>
      </w:r>
      <w:r w:rsidRPr="00CB118B">
        <w:rPr>
          <w:rFonts w:ascii="Times New Roman" w:eastAsia="Times New Roman" w:hAnsi="Times New Roman" w:cs="Times New Roman"/>
          <w:i/>
          <w:iCs/>
          <w:color w:val="000000"/>
          <w:kern w:val="0"/>
          <w:sz w:val="26"/>
          <w:szCs w:val="26"/>
          <w:lang w:eastAsia="en-GB"/>
          <w14:ligatures w14:val="none"/>
        </w:rPr>
        <w:t>ἀνακεφαλαίωσις</w:t>
      </w:r>
      <w:r w:rsidRPr="00CB118B">
        <w:rPr>
          <w:rFonts w:ascii="Times New Roman" w:eastAsia="Times New Roman" w:hAnsi="Times New Roman" w:cs="Times New Roman"/>
          <w:color w:val="000000"/>
          <w:kern w:val="0"/>
          <w:sz w:val="26"/>
          <w:szCs w:val="26"/>
          <w:lang w:eastAsia="en-GB"/>
          <w14:ligatures w14:val="none"/>
        </w:rPr>
        <w:t>). According to this vision, salvation does not consist in the annulment of history or in an escape from the human condition, but in the assumption, healing, and reorientation of history from within. Christ does not destroy what is human; rather, He restores it, recapitulates it, and leads it toward fulfillment. History, with its wounds and failures, is not eliminated but transfigured. Within this framework, hope is more than consolation: it is openness toward a real renewal of both humanity and the world in Christ.</w:t>
      </w:r>
    </w:p>
    <w:p w14:paraId="73048A5C"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this process, Mary occupies a decisive role. The Eve–Mary parallel is not moralistic or merely illustrative, but profoundly ontological: what Eve bound through disobedience is untied through Mary’s obedience. Through her free consent to the angelic annunciation, Mary becomes the beginning of a restored humanity. Wounded history is not corrected externally through a unilateral divine act, but is reopened through a personal, free, and responsible human response. In this sense, Mary is not merely the “instrument” of the Incarnation, but the human space in which history regains its openness toward God. She represents that point of inflection at which humanity, personally represented, relearns obedience as a form of life—not as mere submission, but as active trust.</w:t>
      </w:r>
    </w:p>
    <w:p w14:paraId="103CF1B2"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This perspective bears deep anthropological and pastoral relevance for the contemporary Romanian Christian. Many people live under the weight of decisions perceived as irreversible or of circumstances deemed definitive: familial failures, forced migration, interrupted professional trajectories, chronic illness, or historical traumas transmitted intergenerationally. The Irenaean theology of Mary affirms that hope does not consist in erasing the past or denying wounds, but in the capacity to integrate them into a new path. With God, personal and collective history is never entirely closed, even when it remains marked by scars. For Romania, whose collective memory includes layers of suffering, uprooting, and disappointment, Mary can function as a theological symbol of renewal—not as a superficial “external repair,” but as the possibility of interior reconfiguration.</w:t>
      </w:r>
    </w:p>
    <w:p w14:paraId="0D110053"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On an existential level, this intuition may be formulated thus: Christian hope does not promise that “it will no longer hurt,” but that pain will not have the final word. Mary, as the “beginning of the new world,” shows that reorientation remains possible even when conditions appear adverse. This implies a realistic anthropology, in which the human person is neither reduced to social, economic, or biographical determinisms, nor idealized as self-sufficient. Hope thus becomes a way of inhabiting history, not a technique for escaping it.</w:t>
      </w:r>
    </w:p>
    <w:p w14:paraId="60462EA4"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“The knot of Eve’s disobedience was untied by Mary’s obedience.”</w:t>
      </w:r>
      <w:r w:rsidRPr="00CB118B">
        <w:rPr>
          <w:rFonts w:ascii="Times New Roman" w:eastAsia="Times New Roman" w:hAnsi="Times New Roman" w:cs="Times New Roman"/>
          <w:color w:val="000000"/>
          <w:kern w:val="0"/>
          <w:sz w:val="26"/>
          <w:szCs w:val="26"/>
          <w:lang w:eastAsia="en-GB"/>
          <w14:ligatures w14:val="none"/>
        </w:rPr>
        <w:br/>
        <w:t>— Irenaeus of Lyons, </w:t>
      </w:r>
      <w:r w:rsidRPr="00CB118B">
        <w:rPr>
          <w:rFonts w:ascii="Times New Roman" w:eastAsia="Times New Roman" w:hAnsi="Times New Roman" w:cs="Times New Roman"/>
          <w:i/>
          <w:iCs/>
          <w:color w:val="000000"/>
          <w:kern w:val="0"/>
          <w:sz w:val="26"/>
          <w:szCs w:val="26"/>
          <w:lang w:eastAsia="en-GB"/>
          <w14:ligatures w14:val="none"/>
        </w:rPr>
        <w:t>Adversus haereses</w:t>
      </w:r>
      <w:r w:rsidRPr="00CB118B">
        <w:rPr>
          <w:rFonts w:ascii="Times New Roman" w:eastAsia="Times New Roman" w:hAnsi="Times New Roman" w:cs="Times New Roman"/>
          <w:color w:val="000000"/>
          <w:kern w:val="0"/>
          <w:sz w:val="26"/>
          <w:szCs w:val="26"/>
          <w:lang w:eastAsia="en-GB"/>
          <w14:ligatures w14:val="none"/>
        </w:rPr>
        <w:t>, III, 22, 4.</w:t>
      </w:r>
    </w:p>
    <w:p w14:paraId="7F783625"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“Just as [Eve] became the cause of death, so also Mary became the cause of salvation.”</w:t>
      </w:r>
      <w:r w:rsidRPr="00CB118B">
        <w:rPr>
          <w:rFonts w:ascii="Times New Roman" w:eastAsia="Times New Roman" w:hAnsi="Times New Roman" w:cs="Times New Roman"/>
          <w:color w:val="000000"/>
          <w:kern w:val="0"/>
          <w:sz w:val="26"/>
          <w:szCs w:val="26"/>
          <w:lang w:eastAsia="en-GB"/>
          <w14:ligatures w14:val="none"/>
        </w:rPr>
        <w:br/>
        <w:t>— Irenaeus of Lyons, </w:t>
      </w:r>
      <w:r w:rsidRPr="00CB118B">
        <w:rPr>
          <w:rFonts w:ascii="Times New Roman" w:eastAsia="Times New Roman" w:hAnsi="Times New Roman" w:cs="Times New Roman"/>
          <w:i/>
          <w:iCs/>
          <w:color w:val="000000"/>
          <w:kern w:val="0"/>
          <w:sz w:val="26"/>
          <w:szCs w:val="26"/>
          <w:lang w:eastAsia="en-GB"/>
          <w14:ligatures w14:val="none"/>
        </w:rPr>
        <w:t>Adversus haereses</w:t>
      </w:r>
      <w:r w:rsidRPr="00CB118B">
        <w:rPr>
          <w:rFonts w:ascii="Times New Roman" w:eastAsia="Times New Roman" w:hAnsi="Times New Roman" w:cs="Times New Roman"/>
          <w:color w:val="000000"/>
          <w:kern w:val="0"/>
          <w:sz w:val="26"/>
          <w:szCs w:val="26"/>
          <w:lang w:eastAsia="en-GB"/>
          <w14:ligatures w14:val="none"/>
        </w:rPr>
        <w:t>, III, 22, 4.</w:t>
      </w:r>
    </w:p>
    <w:p w14:paraId="51E6C38D" w14:textId="360208F9"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Christian hope, therefore, is not optimism, but the </w:t>
      </w:r>
      <w:r w:rsidRPr="00CB118B">
        <w:rPr>
          <w:rFonts w:ascii="Times New Roman" w:eastAsia="Times New Roman" w:hAnsi="Times New Roman" w:cs="Times New Roman"/>
          <w:b/>
          <w:bCs/>
          <w:color w:val="000000"/>
          <w:kern w:val="0"/>
          <w:sz w:val="26"/>
          <w:szCs w:val="26"/>
          <w:lang w:eastAsia="en-GB"/>
          <w14:ligatures w14:val="none"/>
        </w:rPr>
        <w:t>real reorientation of history</w:t>
      </w:r>
      <w:r w:rsidRPr="00CB118B">
        <w:rPr>
          <w:rFonts w:ascii="Times New Roman" w:eastAsia="Times New Roman" w:hAnsi="Times New Roman" w:cs="Times New Roman"/>
          <w:color w:val="000000"/>
          <w:kern w:val="0"/>
          <w:sz w:val="26"/>
          <w:szCs w:val="26"/>
          <w:lang w:eastAsia="en-GB"/>
          <w14:ligatures w14:val="none"/>
        </w:rPr>
        <w:t> through the free response of the human person.</w:t>
      </w:r>
    </w:p>
    <w:p w14:paraId="1CE8D762"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2. Marian Freedom: Between Autonomy and Responsibility</w:t>
      </w:r>
    </w:p>
    <w:p w14:paraId="2B9B984E"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 second major theological nucleus concerns the way in which Mary redefines human freedom. Contemporary culture tends to identify freedom with absolute autonomy: the refusal of any dependence, the avoidance of definitive commitments, the rejection of authority and tradition. Far from liberating the person, this conception often generates identity insecurity, relational instability, and chronic anxiety. Freedom becomes fragile because it lacks reference points and meaning. In present-day Romania, this phenomenon can be observed in the oscillation between the desire for stability and the fear of commitment, between the aspiration to freedom and the difficulty of building lasting relationships.</w:t>
      </w:r>
    </w:p>
    <w:p w14:paraId="0B2EA9AD"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Mary proposes a different paradigm: </w:t>
      </w:r>
      <w:r w:rsidRPr="00CB118B">
        <w:rPr>
          <w:rFonts w:ascii="Times New Roman" w:eastAsia="Times New Roman" w:hAnsi="Times New Roman" w:cs="Times New Roman"/>
          <w:b/>
          <w:bCs/>
          <w:color w:val="000000"/>
          <w:kern w:val="0"/>
          <w:sz w:val="26"/>
          <w:szCs w:val="26"/>
          <w:lang w:eastAsia="en-GB"/>
          <w14:ligatures w14:val="none"/>
        </w:rPr>
        <w:t>freedom as response</w:t>
      </w:r>
      <w:r w:rsidRPr="00CB118B">
        <w:rPr>
          <w:rFonts w:ascii="Times New Roman" w:eastAsia="Times New Roman" w:hAnsi="Times New Roman" w:cs="Times New Roman"/>
          <w:color w:val="000000"/>
          <w:kern w:val="0"/>
          <w:sz w:val="26"/>
          <w:szCs w:val="26"/>
          <w:lang w:eastAsia="en-GB"/>
          <w14:ligatures w14:val="none"/>
        </w:rPr>
        <w:t>. She is not constrained, but called; not annulled, but made responsible. The formula “Let it be done to me according to your word” expresses the maturity of a freedom capable of opening itself to a call that transcends it without dissolving it. Patristic tradition consistently emphasizes the free character of Mary’s consent precisely in order to show that grace does not suppress the will, but fulfills it and brings it to its fullest form. In this sense, freedom is not opposed to obedience; rather, obedience can become its highest form—obedience as an act of trust, not as the negation of personhood.</w:t>
      </w:r>
    </w:p>
    <w:p w14:paraId="18301450"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Applied to the Romanian context, this vision corrects the confusion between freedom and the flight from responsibility. Within the family, civic life, and ecclesial existence, freedom is not lost through fidelity but matures through commitment. Mary thus becomes a model of integrated freedom, capable of durable commitments within a society marked by relational precariousness and fear of long-term engagement. Anthropologically speaking, this integrated freedom presupposes the unity of the person: will, affectivity, and reason do not fragment into contradictory decisions, but converge toward a recognized and assumed good.</w:t>
      </w:r>
    </w:p>
    <w:p w14:paraId="0787F8F6"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Moreover, Marian freedom may be understood as an implicit critique of two modern temptations: absolute autonomy, which isolates, and fatalism, which paralyzes. In Romania, where social resignation sometimes combines with distrust in institutions and collective projects, Mary points to a freedom that does not depend on external “guarantees,” but on a stable interior center: fidelity to God. Such freedom bears social consequences: it makes possible solidarity, perseverance, and responsibility—not as mere moral imperatives, but as fruits of hope.</w:t>
      </w:r>
    </w:p>
    <w:p w14:paraId="0666BC2E"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“Behold the handmaid of the Lord; let it be done to me according to your word.”</w:t>
      </w:r>
      <w:r w:rsidRPr="00CB118B">
        <w:rPr>
          <w:rFonts w:ascii="Times New Roman" w:eastAsia="Times New Roman" w:hAnsi="Times New Roman" w:cs="Times New Roman"/>
          <w:color w:val="000000"/>
          <w:kern w:val="0"/>
          <w:sz w:val="26"/>
          <w:szCs w:val="26"/>
          <w:lang w:eastAsia="en-GB"/>
          <w14:ligatures w14:val="none"/>
        </w:rPr>
        <w:br/>
        <w:t>— Luke 1:38.</w:t>
      </w:r>
    </w:p>
    <w:p w14:paraId="2E4DD6C7"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“The Virgin conceived through faith; her faith conceived.”</w:t>
      </w:r>
      <w:r w:rsidRPr="00CB118B">
        <w:rPr>
          <w:rFonts w:ascii="Times New Roman" w:eastAsia="Times New Roman" w:hAnsi="Times New Roman" w:cs="Times New Roman"/>
          <w:color w:val="000000"/>
          <w:kern w:val="0"/>
          <w:sz w:val="26"/>
          <w:szCs w:val="26"/>
          <w:lang w:eastAsia="en-GB"/>
          <w14:ligatures w14:val="none"/>
        </w:rPr>
        <w:br/>
        <w:t>— Augustine, </w:t>
      </w:r>
      <w:r w:rsidRPr="00CB118B">
        <w:rPr>
          <w:rFonts w:ascii="Times New Roman" w:eastAsia="Times New Roman" w:hAnsi="Times New Roman" w:cs="Times New Roman"/>
          <w:i/>
          <w:iCs/>
          <w:color w:val="000000"/>
          <w:kern w:val="0"/>
          <w:sz w:val="26"/>
          <w:szCs w:val="26"/>
          <w:lang w:eastAsia="en-GB"/>
          <w14:ligatures w14:val="none"/>
        </w:rPr>
        <w:t>Sermo</w:t>
      </w:r>
      <w:r w:rsidRPr="00CB118B">
        <w:rPr>
          <w:rFonts w:ascii="Times New Roman" w:eastAsia="Times New Roman" w:hAnsi="Times New Roman" w:cs="Times New Roman"/>
          <w:color w:val="000000"/>
          <w:kern w:val="0"/>
          <w:sz w:val="26"/>
          <w:szCs w:val="26"/>
          <w:lang w:eastAsia="en-GB"/>
          <w14:ligatures w14:val="none"/>
        </w:rPr>
        <w:t> 215, 4.</w:t>
      </w:r>
    </w:p>
    <w:p w14:paraId="47081C22" w14:textId="599BF2C0"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Mature freedom thus stands opposed to absolute autonomy: freedom finds its fulfillment as a </w:t>
      </w:r>
      <w:r w:rsidRPr="00CB118B">
        <w:rPr>
          <w:rFonts w:ascii="Times New Roman" w:eastAsia="Times New Roman" w:hAnsi="Times New Roman" w:cs="Times New Roman"/>
          <w:b/>
          <w:bCs/>
          <w:color w:val="000000"/>
          <w:kern w:val="0"/>
          <w:sz w:val="26"/>
          <w:szCs w:val="26"/>
          <w:lang w:eastAsia="en-GB"/>
          <w14:ligatures w14:val="none"/>
        </w:rPr>
        <w:t>responsible act</w:t>
      </w:r>
      <w:r w:rsidRPr="00CB118B">
        <w:rPr>
          <w:rFonts w:ascii="Times New Roman" w:eastAsia="Times New Roman" w:hAnsi="Times New Roman" w:cs="Times New Roman"/>
          <w:color w:val="000000"/>
          <w:kern w:val="0"/>
          <w:sz w:val="26"/>
          <w:szCs w:val="26"/>
          <w:lang w:eastAsia="en-GB"/>
          <w14:ligatures w14:val="none"/>
        </w:rPr>
        <w:t>.</w:t>
      </w:r>
    </w:p>
    <w:p w14:paraId="1D2C1C3F"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3. Mary and the Pedagogy of Suffering: Hope Without Despair</w:t>
      </w:r>
    </w:p>
    <w:p w14:paraId="404452D6"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Christian tradition does not idealize Mary’s life as one devoid of suffering. On the contrary, the Gospels and patristic interpretation emphasize an existential path marked by precariousness and pain: birth in poverty, flight into Egypt, the experience of exile, misunderstanding, the prophecy of the sword piercing her soul, and her silent presence at the Cross. Mary is not “protected” from suffering; she passes through it in fidelity. This fact bears decisive theological significance: hope is not valid only under ideal conditions, but above all in limit-situations.</w:t>
      </w:r>
    </w:p>
    <w:p w14:paraId="182AAD31"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This dimension is particularly relevant for contemporary Romania, where suffering is often lived in isolation: illness, poverty, addiction, the loneliness of the elderly, and the trauma of families divided by migration. Mary shows that pain is not a sign of divine abandonment. Marian hope does not consist in eliminating suffering, but in refusing despair. It makes possible a suffering lived in communion, not in isolation or mute rebellion. Within a culture where suffering may be either hidden out of shame or transformed into resentment, Mary proposes another attitude: silent, patient fidelity, free of cynicism.</w:t>
      </w:r>
    </w:p>
    <w:p w14:paraId="3842F549"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From a pastoral and ecclesial perspective, this teaching calls the Church to avoid both abstract spiritualization of pain (which may become a form of moral indifference) and its neglect (which abandons the person to solitude). Mary at the Cross becomes the model of a silent yet faithful presence that sustains hope precisely when language is exhausted and explanations are impossible. Practically, this implies a </w:t>
      </w:r>
      <w:r w:rsidRPr="00CB118B">
        <w:rPr>
          <w:rFonts w:ascii="Times New Roman" w:eastAsia="Times New Roman" w:hAnsi="Times New Roman" w:cs="Times New Roman"/>
          <w:b/>
          <w:bCs/>
          <w:color w:val="000000"/>
          <w:kern w:val="0"/>
          <w:sz w:val="26"/>
          <w:szCs w:val="26"/>
          <w:lang w:eastAsia="en-GB"/>
          <w14:ligatures w14:val="none"/>
        </w:rPr>
        <w:t>“pastoral of accompaniment”</w:t>
      </w:r>
      <w:r w:rsidRPr="00CB118B">
        <w:rPr>
          <w:rFonts w:ascii="Times New Roman" w:eastAsia="Times New Roman" w:hAnsi="Times New Roman" w:cs="Times New Roman"/>
          <w:color w:val="000000"/>
          <w:kern w:val="0"/>
          <w:sz w:val="26"/>
          <w:szCs w:val="26"/>
          <w:lang w:eastAsia="en-GB"/>
          <w14:ligatures w14:val="none"/>
        </w:rPr>
        <w:t>: presence, listening, solidarity, and a slow rhythm of healing. Christian hope is not an argument, but a presence that does not depart.</w:t>
      </w:r>
    </w:p>
    <w:p w14:paraId="7BC8CC1B"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“Standing by the cross of Jesus was his mother.”</w:t>
      </w:r>
      <w:r w:rsidRPr="00CB118B">
        <w:rPr>
          <w:rFonts w:ascii="Times New Roman" w:eastAsia="Times New Roman" w:hAnsi="Times New Roman" w:cs="Times New Roman"/>
          <w:color w:val="000000"/>
          <w:kern w:val="0"/>
          <w:sz w:val="26"/>
          <w:szCs w:val="26"/>
          <w:lang w:eastAsia="en-GB"/>
          <w14:ligatures w14:val="none"/>
        </w:rPr>
        <w:br/>
        <w:t>— John 19:25.</w:t>
      </w:r>
    </w:p>
    <w:p w14:paraId="614B18CC"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“Through you creation rejoiced, and through you sorrow was driven away.”</w:t>
      </w:r>
      <w:r w:rsidRPr="00CB118B">
        <w:rPr>
          <w:rFonts w:ascii="Times New Roman" w:eastAsia="Times New Roman" w:hAnsi="Times New Roman" w:cs="Times New Roman"/>
          <w:color w:val="000000"/>
          <w:kern w:val="0"/>
          <w:sz w:val="26"/>
          <w:szCs w:val="26"/>
          <w:lang w:eastAsia="en-GB"/>
          <w14:ligatures w14:val="none"/>
        </w:rPr>
        <w:br/>
        <w:t>— Ephrem the Syrian, </w:t>
      </w:r>
      <w:r w:rsidRPr="00CB118B">
        <w:rPr>
          <w:rFonts w:ascii="Times New Roman" w:eastAsia="Times New Roman" w:hAnsi="Times New Roman" w:cs="Times New Roman"/>
          <w:i/>
          <w:iCs/>
          <w:color w:val="000000"/>
          <w:kern w:val="0"/>
          <w:sz w:val="26"/>
          <w:szCs w:val="26"/>
          <w:lang w:eastAsia="en-GB"/>
          <w14:ligatures w14:val="none"/>
        </w:rPr>
        <w:t>Hymns</w:t>
      </w:r>
      <w:r w:rsidRPr="00CB118B">
        <w:rPr>
          <w:rFonts w:ascii="Times New Roman" w:eastAsia="Times New Roman" w:hAnsi="Times New Roman" w:cs="Times New Roman"/>
          <w:color w:val="000000"/>
          <w:kern w:val="0"/>
          <w:sz w:val="26"/>
          <w:szCs w:val="26"/>
          <w:lang w:eastAsia="en-GB"/>
          <w14:ligatures w14:val="none"/>
        </w:rPr>
        <w:t>.</w:t>
      </w:r>
    </w:p>
    <w:p w14:paraId="2DC8366D" w14:textId="242F3BBC"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Hope is therefore not an escape from suffering, but </w:t>
      </w:r>
      <w:r w:rsidRPr="00CB118B">
        <w:rPr>
          <w:rFonts w:ascii="Times New Roman" w:eastAsia="Times New Roman" w:hAnsi="Times New Roman" w:cs="Times New Roman"/>
          <w:b/>
          <w:bCs/>
          <w:color w:val="000000"/>
          <w:kern w:val="0"/>
          <w:sz w:val="26"/>
          <w:szCs w:val="26"/>
          <w:lang w:eastAsia="en-GB"/>
          <w14:ligatures w14:val="none"/>
        </w:rPr>
        <w:t>faithful presence within suffering</w:t>
      </w:r>
      <w:r w:rsidRPr="00CB118B">
        <w:rPr>
          <w:rFonts w:ascii="Times New Roman" w:eastAsia="Times New Roman" w:hAnsi="Times New Roman" w:cs="Times New Roman"/>
          <w:color w:val="000000"/>
          <w:kern w:val="0"/>
          <w:sz w:val="26"/>
          <w:szCs w:val="26"/>
          <w:lang w:eastAsia="en-GB"/>
          <w14:ligatures w14:val="none"/>
        </w:rPr>
        <w:t>.</w:t>
      </w:r>
    </w:p>
    <w:p w14:paraId="74DCC27F"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4. Hope as a Communal Reality: Mary and the Church</w:t>
      </w:r>
    </w:p>
    <w:p w14:paraId="541E663D"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 fundamental patristic emphasis is the communal character of hope. Mary never appears as an isolated or self-sufficient figure. She is present at Cana, within the apostolic community, and in the early Church. The Fathers see her as an icon of the Church precisely because in her personal faith opens toward a communal reality. Mary does not live hope as a private project, but as belonging to a people and to a community journeying together.</w:t>
      </w:r>
    </w:p>
    <w:p w14:paraId="2D4525C7"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In contemporary Romania, individualism and social fragmentation have profoundly weakened the communal fabric. Many experience faith as a strictly private matter, and community is perceived as limitation or burden. Mary contradicts this vision: hope does not survive in isolation. It requires stable relationships, belonging, shared memory, and concrete solidarity. In their absence, hope becomes vulnerable and is easily replaced by anxiety, cynicism, or resignation.</w:t>
      </w:r>
    </w:p>
    <w:p w14:paraId="50C7012F"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This perspective calls for a rediscovery of the parish community not as a merely administrative framework, but as a space of shared hope, mutual accompaniment, and slow healing. Concretely, this may involve relearning conviviality, recovering communal practices (prayer, charity, material and affective support), and rebuilding intergenerational bonds. In a society where migration has produced “fractured” communities, the Church can become a place of social reweaving; and Mary, as icon of the Church, becomes the symbol of a community that does not abandon.</w:t>
      </w:r>
    </w:p>
    <w:p w14:paraId="7D854342"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“The Uncontainable One was contained within your womb.”</w:t>
      </w:r>
      <w:r w:rsidRPr="00CB118B">
        <w:rPr>
          <w:rFonts w:ascii="Times New Roman" w:eastAsia="Times New Roman" w:hAnsi="Times New Roman" w:cs="Times New Roman"/>
          <w:color w:val="000000"/>
          <w:kern w:val="0"/>
          <w:sz w:val="26"/>
          <w:szCs w:val="26"/>
          <w:lang w:eastAsia="en-GB"/>
          <w14:ligatures w14:val="none"/>
        </w:rPr>
        <w:br/>
        <w:t>— Gregory Thaumaturgus, </w:t>
      </w:r>
      <w:r w:rsidRPr="00CB118B">
        <w:rPr>
          <w:rFonts w:ascii="Times New Roman" w:eastAsia="Times New Roman" w:hAnsi="Times New Roman" w:cs="Times New Roman"/>
          <w:i/>
          <w:iCs/>
          <w:color w:val="000000"/>
          <w:kern w:val="0"/>
          <w:sz w:val="26"/>
          <w:szCs w:val="26"/>
          <w:lang w:eastAsia="en-GB"/>
          <w14:ligatures w14:val="none"/>
        </w:rPr>
        <w:t>Homily on the Annunciation</w:t>
      </w:r>
      <w:r w:rsidRPr="00CB118B">
        <w:rPr>
          <w:rFonts w:ascii="Times New Roman" w:eastAsia="Times New Roman" w:hAnsi="Times New Roman" w:cs="Times New Roman"/>
          <w:color w:val="000000"/>
          <w:kern w:val="0"/>
          <w:sz w:val="26"/>
          <w:szCs w:val="26"/>
          <w:lang w:eastAsia="en-GB"/>
          <w14:ligatures w14:val="none"/>
        </w:rPr>
        <w:t>.</w:t>
      </w:r>
    </w:p>
    <w:p w14:paraId="7C723D59"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“Rejoice, bridge that leads those on earth to heaven.”</w:t>
      </w:r>
      <w:r w:rsidRPr="00CB118B">
        <w:rPr>
          <w:rFonts w:ascii="Times New Roman" w:eastAsia="Times New Roman" w:hAnsi="Times New Roman" w:cs="Times New Roman"/>
          <w:color w:val="000000"/>
          <w:kern w:val="0"/>
          <w:sz w:val="26"/>
          <w:szCs w:val="26"/>
          <w:lang w:eastAsia="en-GB"/>
          <w14:ligatures w14:val="none"/>
        </w:rPr>
        <w:br/>
        <w:t>— Proclus of Constantinople, </w:t>
      </w:r>
      <w:r w:rsidRPr="00CB118B">
        <w:rPr>
          <w:rFonts w:ascii="Times New Roman" w:eastAsia="Times New Roman" w:hAnsi="Times New Roman" w:cs="Times New Roman"/>
          <w:i/>
          <w:iCs/>
          <w:color w:val="000000"/>
          <w:kern w:val="0"/>
          <w:sz w:val="26"/>
          <w:szCs w:val="26"/>
          <w:lang w:eastAsia="en-GB"/>
          <w14:ligatures w14:val="none"/>
        </w:rPr>
        <w:t>Homily on the Annunciation</w:t>
      </w:r>
      <w:r w:rsidRPr="00CB118B">
        <w:rPr>
          <w:rFonts w:ascii="Times New Roman" w:eastAsia="Times New Roman" w:hAnsi="Times New Roman" w:cs="Times New Roman"/>
          <w:color w:val="000000"/>
          <w:kern w:val="0"/>
          <w:sz w:val="26"/>
          <w:szCs w:val="26"/>
          <w:lang w:eastAsia="en-GB"/>
          <w14:ligatures w14:val="none"/>
        </w:rPr>
        <w:t>.</w:t>
      </w:r>
    </w:p>
    <w:p w14:paraId="6C81F8E5" w14:textId="18598B6A"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Christian hope thus possesses a </w:t>
      </w:r>
      <w:r w:rsidRPr="00CB118B">
        <w:rPr>
          <w:rFonts w:ascii="Times New Roman" w:eastAsia="Times New Roman" w:hAnsi="Times New Roman" w:cs="Times New Roman"/>
          <w:b/>
          <w:bCs/>
          <w:color w:val="000000"/>
          <w:kern w:val="0"/>
          <w:sz w:val="26"/>
          <w:szCs w:val="26"/>
          <w:lang w:eastAsia="en-GB"/>
          <w14:ligatures w14:val="none"/>
        </w:rPr>
        <w:t>communal and ‘cosmic’ dimension</w:t>
      </w:r>
      <w:r w:rsidRPr="00CB118B">
        <w:rPr>
          <w:rFonts w:ascii="Times New Roman" w:eastAsia="Times New Roman" w:hAnsi="Times New Roman" w:cs="Times New Roman"/>
          <w:color w:val="000000"/>
          <w:kern w:val="0"/>
          <w:sz w:val="26"/>
          <w:szCs w:val="26"/>
          <w:lang w:eastAsia="en-GB"/>
          <w14:ligatures w14:val="none"/>
        </w:rPr>
        <w:t>, not merely an individualistic one.</w:t>
      </w:r>
    </w:p>
    <w:p w14:paraId="51364940"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5. Patience and God’s Time: An Antidote to Contemporary Anxiety</w:t>
      </w:r>
    </w:p>
    <w:p w14:paraId="2AA4F0D8"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An often neglected yet decisive aspect is the </w:t>
      </w:r>
      <w:r w:rsidRPr="00CB118B">
        <w:rPr>
          <w:rFonts w:ascii="Times New Roman" w:eastAsia="Times New Roman" w:hAnsi="Times New Roman" w:cs="Times New Roman"/>
          <w:b/>
          <w:bCs/>
          <w:color w:val="000000"/>
          <w:kern w:val="0"/>
          <w:sz w:val="26"/>
          <w:szCs w:val="26"/>
          <w:lang w:eastAsia="en-GB"/>
          <w14:ligatures w14:val="none"/>
        </w:rPr>
        <w:t>pedagogy of time</w:t>
      </w:r>
      <w:r w:rsidRPr="00CB118B">
        <w:rPr>
          <w:rFonts w:ascii="Times New Roman" w:eastAsia="Times New Roman" w:hAnsi="Times New Roman" w:cs="Times New Roman"/>
          <w:color w:val="000000"/>
          <w:kern w:val="0"/>
          <w:sz w:val="26"/>
          <w:szCs w:val="26"/>
          <w:lang w:eastAsia="en-GB"/>
          <w14:ligatures w14:val="none"/>
        </w:rPr>
        <w:t>. Between the Annunciation and the fulfillment of the promises unfolds a long time of waiting, silence, and fidelity. Mary does not force God’s time; she inhabits it. She “keeps all these things in her heart,” assuming an active, reflective, and responsible patience. Her patience is not inertia, but maturation—the capacity to remain faithful when no visible signs of fulfillment yet appear.</w:t>
      </w:r>
    </w:p>
    <w:p w14:paraId="14B86B15"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For the contemporary person, accustomed to instantaneity and the pressure of rapid results, this pedagogy is profoundly healing. Many crises of hope stem from an inability to live time as a space of maturation. In Romania, this difficulty is reflected in frustrated expectations, accumulated social resentment, and the temptation to seek quick solutions—political, cultural, or psychological. Mary shows that waiting is neither emptiness nor failure, but a process of slow and deep transformation. Hope is not a fleeting emotion, but an interior stability that traverses time without exhaustion.</w:t>
      </w:r>
    </w:p>
    <w:p w14:paraId="01F0CB97"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Moreover, the pedagogy of time suggests that hope is inseparable from memory: Mary “keeps” and “meditates” upon what she experiences. For the contemporary person, who rapidly consumes information and forgets just as quickly, this interiorization constitutes a spiritual school. Hope is nourished by recognizing God’s fidelity in the past and by interpreting events not as random occurrences, but as a path.</w:t>
      </w:r>
    </w:p>
    <w:p w14:paraId="0DBF13DC"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“Mary kept all these things, pondering them in her heart.”</w:t>
      </w:r>
      <w:r w:rsidRPr="00CB118B">
        <w:rPr>
          <w:rFonts w:ascii="Times New Roman" w:eastAsia="Times New Roman" w:hAnsi="Times New Roman" w:cs="Times New Roman"/>
          <w:color w:val="000000"/>
          <w:kern w:val="0"/>
          <w:sz w:val="26"/>
          <w:szCs w:val="26"/>
          <w:lang w:eastAsia="en-GB"/>
          <w14:ligatures w14:val="none"/>
        </w:rPr>
        <w:br/>
        <w:t>— Luke 2:19.</w:t>
      </w:r>
    </w:p>
    <w:p w14:paraId="4B7877D9" w14:textId="615D3EA5"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Hope is formed in the </w:t>
      </w:r>
      <w:r w:rsidRPr="00CB118B">
        <w:rPr>
          <w:rFonts w:ascii="Times New Roman" w:eastAsia="Times New Roman" w:hAnsi="Times New Roman" w:cs="Times New Roman"/>
          <w:b/>
          <w:bCs/>
          <w:color w:val="000000"/>
          <w:kern w:val="0"/>
          <w:sz w:val="26"/>
          <w:szCs w:val="26"/>
          <w:lang w:eastAsia="en-GB"/>
          <w14:ligatures w14:val="none"/>
        </w:rPr>
        <w:t>duration of faith</w:t>
      </w:r>
      <w:r w:rsidRPr="00CB118B">
        <w:rPr>
          <w:rFonts w:ascii="Times New Roman" w:eastAsia="Times New Roman" w:hAnsi="Times New Roman" w:cs="Times New Roman"/>
          <w:color w:val="000000"/>
          <w:kern w:val="0"/>
          <w:sz w:val="26"/>
          <w:szCs w:val="26"/>
          <w:lang w:eastAsia="en-GB"/>
          <w14:ligatures w14:val="none"/>
        </w:rPr>
        <w:t>, not in instant gratification.</w:t>
      </w:r>
    </w:p>
    <w:p w14:paraId="679AAE0D"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Conclusion. Mary as a Figure of Integrated Hope</w:t>
      </w:r>
    </w:p>
    <w:p w14:paraId="341409FB"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the light of patristic reflection and contextual application, the Blessed Virgin Mary emerges as a figure of remarkable relevance for the contemporary Romanian Christian. She offers neither magical solutions nor quick formulas, but a way of living hope as fidelity, responsibility, and communion. Mary shows that hope is possible even within fragility, that freedom can mature, that suffering can become a locus of meaning, and that history remains open.</w:t>
      </w:r>
    </w:p>
    <w:p w14:paraId="7FCFB32D"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For this reason, the Church rightly calls her the </w:t>
      </w:r>
      <w:r w:rsidRPr="00CB118B">
        <w:rPr>
          <w:rFonts w:ascii="Times New Roman" w:eastAsia="Times New Roman" w:hAnsi="Times New Roman" w:cs="Times New Roman"/>
          <w:b/>
          <w:bCs/>
          <w:color w:val="000000"/>
          <w:kern w:val="0"/>
          <w:sz w:val="26"/>
          <w:szCs w:val="26"/>
          <w:lang w:eastAsia="en-GB"/>
          <w14:ligatures w14:val="none"/>
        </w:rPr>
        <w:t>Mother of Hope</w:t>
      </w:r>
      <w:r w:rsidRPr="00CB118B">
        <w:rPr>
          <w:rFonts w:ascii="Times New Roman" w:eastAsia="Times New Roman" w:hAnsi="Times New Roman" w:cs="Times New Roman"/>
          <w:color w:val="000000"/>
          <w:kern w:val="0"/>
          <w:sz w:val="26"/>
          <w:szCs w:val="26"/>
          <w:lang w:eastAsia="en-GB"/>
          <w14:ligatures w14:val="none"/>
        </w:rPr>
        <w:t>: not as a substitute for Christ, but as a living witness to God’s fidelity toward humanity and history. In Mary, hope does not remain an idea; it takes on existential form—response, patience, communion, presence. For the Romanian Christian today, this means that hope is not a spiritual luxury, but a force of interior and communal reconstruction, capable of restoring meaning, reestablishing bonds, and opening the future where it seems closed.</w:t>
      </w:r>
    </w:p>
    <w:p w14:paraId="3C07A6EB" w14:textId="3C2B40D0" w:rsidR="00CB118B" w:rsidRDefault="00CB118B">
      <w:pPr>
        <w:rPr>
          <w:rFonts w:ascii="Times New Roman" w:hAnsi="Times New Roman" w:cs="Times New Roman"/>
          <w:sz w:val="26"/>
          <w:szCs w:val="26"/>
        </w:rPr>
      </w:pPr>
      <w:r>
        <w:rPr>
          <w:rFonts w:ascii="Times New Roman" w:hAnsi="Times New Roman" w:cs="Times New Roman"/>
          <w:sz w:val="26"/>
          <w:szCs w:val="26"/>
        </w:rPr>
        <w:br w:type="page"/>
      </w:r>
    </w:p>
    <w:p w14:paraId="120B4990" w14:textId="77777777" w:rsidR="00CB118B" w:rsidRPr="00CB118B" w:rsidRDefault="00CB118B" w:rsidP="00CB118B">
      <w:pPr>
        <w:spacing w:before="100" w:beforeAutospacing="1" w:after="100" w:afterAutospacing="1" w:line="240" w:lineRule="auto"/>
        <w:jc w:val="both"/>
        <w:outlineLvl w:val="0"/>
        <w:rPr>
          <w:rFonts w:ascii="Times New Roman" w:eastAsia="Times New Roman" w:hAnsi="Times New Roman" w:cs="Times New Roman"/>
          <w:b/>
          <w:bCs/>
          <w:color w:val="000000"/>
          <w:kern w:val="36"/>
          <w:sz w:val="26"/>
          <w:szCs w:val="26"/>
          <w:lang w:eastAsia="en-GB"/>
          <w14:ligatures w14:val="none"/>
        </w:rPr>
      </w:pPr>
      <w:r w:rsidRPr="00CB118B">
        <w:rPr>
          <w:rFonts w:ascii="Times New Roman" w:eastAsia="Times New Roman" w:hAnsi="Times New Roman" w:cs="Times New Roman"/>
          <w:b/>
          <w:bCs/>
          <w:color w:val="000000"/>
          <w:kern w:val="36"/>
          <w:sz w:val="26"/>
          <w:szCs w:val="26"/>
          <w:lang w:eastAsia="en-GB"/>
          <w14:ligatures w14:val="none"/>
        </w:rPr>
        <w:lastRenderedPageBreak/>
        <w:t>LA SANTA VERGINE MARIA, FONTE DI SPERANZA</w:t>
      </w:r>
    </w:p>
    <w:p w14:paraId="0257C52A" w14:textId="40BE4A4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i/>
          <w:iCs/>
          <w:color w:val="000000"/>
          <w:kern w:val="0"/>
          <w:sz w:val="26"/>
          <w:szCs w:val="26"/>
          <w:lang w:eastAsia="en-GB"/>
          <w14:ligatures w14:val="none"/>
        </w:rPr>
        <w:t>(Riflessioni patristiche rivolte all’uomo contemporaneo)</w:t>
      </w:r>
    </w:p>
    <w:p w14:paraId="7C3390C7"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Introduzione. La crisi della speranza e l’attualità della figura mariana</w:t>
      </w:r>
    </w:p>
    <w:p w14:paraId="61462F29"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Romania contemporanea attraversa una fase segnata da una tensione strutturale tra aspirazione e delusione, tra il legittimo desiderio di stabilità e l’esperienza persistente della precarietà. Dopo decenni di transizione politica, economica e culturale, la società romena manifesta una profonda stanchezza che non è soltanto materiale, ma anche simbolica, morale e spirituale. La massiccia migrazione della forza lavoro ha prodotto fratture familiari e comunitarie difficili da sanare; la fragilizzazione dell’istituzione familiare e l’eccessiva individualizzazione hanno indebolito i tradizionali meccanismi di solidarietà; l’insicurezza economica e la polarizzazione sociale hanno accentuato il sentimento di ingiustizia e di mancanza di prospettive; infine, il calo della fiducia nelle istituzioni ha alimentato uno stato diffuso di scetticismo. In questo contesto, per molte persone il futuro non appare più come una promessa, ma come una fonte di ansia, mentre il presente è vissuto sotto il segno di una pressione continua e della mancanza di orizzonte.</w:t>
      </w:r>
    </w:p>
    <w:p w14:paraId="5C8C14E1"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una simile situazione, la speranza rischia di essere ridotta o a un fragile ottimismo psicologico, destinato ad attenuare le tensioni quotidiane, oppure a un discorso religioso puramente consolatorio, privo di forza trasformante. La tradizione cristiana, tuttavia, non intende la speranza come una disposizione affettiva né come una strategia di adattamento a condizioni avverse, ma come una virtù teologale, ossia come la partecipazione dell’uomo alla fedeltà di Dio verso la storia. La speranza non nasce dalla capacità dell’uomo di controllare il futuro o di evitare la sofferenza, bensì dalla fiducia che la storia rimane aperta all’azione divina anche quando le prospettive umane sembrano esaurite. Nella logica cristiana, la speranza è innanzitutto una categoria relazionale: essa si fonda sulla promessa di un Dio che non abbandona la creazione e che non ritira il senso proprio quando l’uomo si confronta con i propri limiti.</w:t>
      </w:r>
    </w:p>
    <w:p w14:paraId="67B7A4E4" w14:textId="7151B99F"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questa prospettiva, la figura della Vergine Maria occupa un posto centrale e irriducibile. La riflessione patristica non presenta Maria come un ideale irraggiungibile o come un simbolo astratto, ma come una persona storica reale, situata in un contesto di precarietà, rischio e vulnerabilità. In lei si concentrano le tensioni, le ferite e le promesse della condizione umana assunta da Dio. Maria diventa così un “luogo teologico” privilegiato, nel quale si può osservare come la speranza cristiana nasca, maturi e venga verificata in condizioni concrete di vita, non al di fuori della storia, ma nel suo stesso cuore. Ella non è soltanto la destinataria di una promessa, ma anche il soggetto di una risposta: in Maria, la speranza appare come incontro tra l’iniziativa divina e la libertà umana.</w:t>
      </w:r>
    </w:p>
    <w:p w14:paraId="0B3D9CCB"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1. Maria e la speranza della ripresa della storia: la prospettiva irenaica</w:t>
      </w:r>
    </w:p>
    <w:p w14:paraId="55B4C2AE"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 xml:space="preserve">Uno dei nuclei fondamentali della teologia patristica è il tema della storia “ripresa”, formulato con rigore da sant’Ireneo di Lione nella dottrina della ricapitolazione </w:t>
      </w:r>
      <w:r w:rsidRPr="00CB118B">
        <w:rPr>
          <w:rFonts w:ascii="Times New Roman" w:eastAsia="Times New Roman" w:hAnsi="Times New Roman" w:cs="Times New Roman"/>
          <w:color w:val="000000"/>
          <w:kern w:val="0"/>
          <w:sz w:val="26"/>
          <w:szCs w:val="26"/>
          <w:lang w:eastAsia="en-GB"/>
          <w14:ligatures w14:val="none"/>
        </w:rPr>
        <w:lastRenderedPageBreak/>
        <w:t>(ἀνακεφαλαίωσις). Secondo questa visione, la salvezza non consiste nell’annullamento della storia né nell’evasione dalla condizione umana, ma nell’assunzione, guarigione e riorientamento della storia dall’interno. Cristo non distrugge ciò che è umano, ma lo ricrea, lo ricapitola e lo conduce al suo compimento. La storia, con le sue ferite e i suoi fallimenti, non viene eliminata, bensì trasfigurata. In questo quadro, la speranza è più di una consolazione: essa è l’apertura verso una reale rigenerazione dell’uomo e del mondo in Cristo.</w:t>
      </w:r>
    </w:p>
    <w:p w14:paraId="129D6A20"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In questo processo, Maria occupa un ruolo decisivo. Il parallelo Eva–Maria non è di natura moralistica o puramente illustrativa, ma profondamente ontologica: ciò che Eva ha legato mediante la disobbedienza viene sciolto dall’obbedienza di Maria. Attraverso il suo libero consenso all’annuncio dell’angelo, Maria diventa l’inizio di un’umanità restaurata. La storia ferita non viene corretta dall’esterno tramite un atto unilaterale di Dio, ma riaperta attraverso una risposta personale, libera e responsabile. In questo senso, Maria non è soltanto lo “strumento” dell’Incarnazione, ma lo spazio umano nel quale la storia ritrova la propria apertura verso Dio. Ella rappresenta quel punto di svolta in cui l’umanità, personalmente rappresentata, reimpara l’obbedienza come forma di vita: non come mera sottomissione, ma come fiducia attiva.</w:t>
      </w:r>
    </w:p>
    <w:p w14:paraId="3BFD0A18"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Questa prospettiva possiede una profonda rilevanza antropologica e pastorale per il cristiano romeno di oggi. Molti vivono sotto il peso di decisioni percepite come irreversibili o di circostanze considerate definitive: fallimenti familiari, migrazione forzata, percorsi professionali interrotti, malattie croniche o traumi storici trasmessi tra generazioni. La teologia irenaica di Maria afferma che la speranza non consiste nella cancellazione del passato o nella negazione delle ferite, ma nella capacità di integrarle in un cammino nuovo. Con Dio, la storia personale e collettiva non è mai completamente chiusa, anche se resta segnata da cicatrici. Per la Romania, la cui memoria collettiva include strati di sofferenza, sradicamento e disillusione, la figura di Maria può funzionare come simbolo teologico della ripresa: non come semplice “riparazione” esteriore, ma come possibilità di rinnovamento interiore.</w:t>
      </w:r>
    </w:p>
    <w:p w14:paraId="75790498"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Sul piano esistenziale, questa intuizione può essere formulata così: la speranza cristiana non promette che “non farà più male”, ma che il dolore non avrà l’ultima parola. Maria, come “inizio del mondo nuovo”, mostra che il riorientamento è possibile anche quando le condizioni sembrano avverse. Ciò implica un’antropologia realistica, nella quale l’uomo non è ridotto ai determinismi sociali, economici o biografici, ma neppure idealizzato come autosufficiente. La speranza diventa così un modo di abitare la storia, non una tecnica per evaderne.</w:t>
      </w:r>
    </w:p>
    <w:p w14:paraId="3EB23F2B"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«Il nodo della disobbedienza di Eva è stato sciolto dall’obbedienza di Maria.»</w:t>
      </w:r>
      <w:r w:rsidRPr="00CB118B">
        <w:rPr>
          <w:rFonts w:ascii="Times New Roman" w:eastAsia="Times New Roman" w:hAnsi="Times New Roman" w:cs="Times New Roman"/>
          <w:color w:val="000000"/>
          <w:kern w:val="0"/>
          <w:sz w:val="26"/>
          <w:szCs w:val="26"/>
          <w:lang w:eastAsia="en-GB"/>
          <w14:ligatures w14:val="none"/>
        </w:rPr>
        <w:br/>
        <w:t>— Ireneo di Lione, </w:t>
      </w:r>
      <w:r w:rsidRPr="00CB118B">
        <w:rPr>
          <w:rFonts w:ascii="Times New Roman" w:eastAsia="Times New Roman" w:hAnsi="Times New Roman" w:cs="Times New Roman"/>
          <w:i/>
          <w:iCs/>
          <w:color w:val="000000"/>
          <w:kern w:val="0"/>
          <w:sz w:val="26"/>
          <w:szCs w:val="26"/>
          <w:lang w:eastAsia="en-GB"/>
          <w14:ligatures w14:val="none"/>
        </w:rPr>
        <w:t>Adversus haereses</w:t>
      </w:r>
      <w:r w:rsidRPr="00CB118B">
        <w:rPr>
          <w:rFonts w:ascii="Times New Roman" w:eastAsia="Times New Roman" w:hAnsi="Times New Roman" w:cs="Times New Roman"/>
          <w:color w:val="000000"/>
          <w:kern w:val="0"/>
          <w:sz w:val="26"/>
          <w:szCs w:val="26"/>
          <w:lang w:eastAsia="en-GB"/>
          <w14:ligatures w14:val="none"/>
        </w:rPr>
        <w:t>, III, 22, 4.</w:t>
      </w:r>
    </w:p>
    <w:p w14:paraId="572E2984"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«Come [Eva] divenne causa di morte, così Maria divenne causa di salvezza.»</w:t>
      </w:r>
      <w:r w:rsidRPr="00CB118B">
        <w:rPr>
          <w:rFonts w:ascii="Times New Roman" w:eastAsia="Times New Roman" w:hAnsi="Times New Roman" w:cs="Times New Roman"/>
          <w:color w:val="000000"/>
          <w:kern w:val="0"/>
          <w:sz w:val="26"/>
          <w:szCs w:val="26"/>
          <w:lang w:eastAsia="en-GB"/>
          <w14:ligatures w14:val="none"/>
        </w:rPr>
        <w:br/>
        <w:t>— Ireneo di Lione, </w:t>
      </w:r>
      <w:r w:rsidRPr="00CB118B">
        <w:rPr>
          <w:rFonts w:ascii="Times New Roman" w:eastAsia="Times New Roman" w:hAnsi="Times New Roman" w:cs="Times New Roman"/>
          <w:i/>
          <w:iCs/>
          <w:color w:val="000000"/>
          <w:kern w:val="0"/>
          <w:sz w:val="26"/>
          <w:szCs w:val="26"/>
          <w:lang w:eastAsia="en-GB"/>
          <w14:ligatures w14:val="none"/>
        </w:rPr>
        <w:t>Adversus haereses</w:t>
      </w:r>
      <w:r w:rsidRPr="00CB118B">
        <w:rPr>
          <w:rFonts w:ascii="Times New Roman" w:eastAsia="Times New Roman" w:hAnsi="Times New Roman" w:cs="Times New Roman"/>
          <w:color w:val="000000"/>
          <w:kern w:val="0"/>
          <w:sz w:val="26"/>
          <w:szCs w:val="26"/>
          <w:lang w:eastAsia="en-GB"/>
          <w14:ligatures w14:val="none"/>
        </w:rPr>
        <w:t>, III, 22, 4.</w:t>
      </w:r>
    </w:p>
    <w:p w14:paraId="6B46D8BC" w14:textId="37D097AD"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speranza cristiana non è ottimismo, ma </w:t>
      </w:r>
      <w:r w:rsidRPr="00CB118B">
        <w:rPr>
          <w:rFonts w:ascii="Times New Roman" w:eastAsia="Times New Roman" w:hAnsi="Times New Roman" w:cs="Times New Roman"/>
          <w:b/>
          <w:bCs/>
          <w:color w:val="000000"/>
          <w:kern w:val="0"/>
          <w:sz w:val="26"/>
          <w:szCs w:val="26"/>
          <w:lang w:eastAsia="en-GB"/>
          <w14:ligatures w14:val="none"/>
        </w:rPr>
        <w:t>reale riorientamento della storia</w:t>
      </w:r>
      <w:r w:rsidRPr="00CB118B">
        <w:rPr>
          <w:rFonts w:ascii="Times New Roman" w:eastAsia="Times New Roman" w:hAnsi="Times New Roman" w:cs="Times New Roman"/>
          <w:color w:val="000000"/>
          <w:kern w:val="0"/>
          <w:sz w:val="26"/>
          <w:szCs w:val="26"/>
          <w:lang w:eastAsia="en-GB"/>
          <w14:ligatures w14:val="none"/>
        </w:rPr>
        <w:t> mediante la risposta libera dell’uomo.</w:t>
      </w:r>
    </w:p>
    <w:p w14:paraId="17F5A686"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lastRenderedPageBreak/>
        <w:t>2. La libertà mariana: tra autonomia e responsabilità</w:t>
      </w:r>
    </w:p>
    <w:p w14:paraId="460230AE"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Un secondo grande nucleo teologico riguarda il modo in cui Maria ridefinisce la libertà umana. La cultura contemporanea tende a identificare la libertà con l’autonomia assoluta: rifiuto di ogni dipendenza, evitamento degli impegni definitivi, rigetto dell’autorità e della tradizione. Questa concezione, lungi dal liberare la persona, produce spesso insicurezza identitaria, instabilità relazionale e ansia cronica. La libertà diventa fragile perché priva di riferimenti e di senso. Nella Romania di oggi, questo fenomeno si manifesta nell’oscillazione tra il desiderio di stabilità e la paura degli impegni, tra l’aspirazione alla libertà e la difficoltà di costruire relazioni durature.</w:t>
      </w:r>
    </w:p>
    <w:p w14:paraId="5D12606C"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Maria propone un paradigma diverso: la libertà come risposta. Ella non è costretta, ma chiamata; non è annullata, ma responsabilizzata. L’espressione «Avvenga per me secondo la tua parola» manifesta la maturità di una libertà capace di aprirsi a una chiamata che la trascende senza dissolversi. La tradizione patristica insiste sul carattere libero del consenso di Maria proprio per mostrare che la grazia non sopprime la volontà, ma la compie e la conduce alla sua forma piena. In questo senso, la libertà non è opposta all’obbedienza, ma può diventarne la forma più alta: l’obbedienza come atto di fiducia, non come annullamento della persona.</w:t>
      </w:r>
    </w:p>
    <w:p w14:paraId="2509E794"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Applicata al contesto romeno, questa visione corregge la confusione tra libertà e fuga dalla responsabilità. Nella famiglia, nella vita civica e in quella ecclesiale, la libertà non si perde mediante la fedeltà, ma matura attraverso l’assunzione responsabile. Maria diventa così un modello di libertà integrata, capace di impegni duraturi in una società segnata dalla precarietà relazionale e dal timore degli impegni a lungo termine. Dal punto di vista antropologico, questa libertà integrata presuppone l’unità della persona: volontà, affettività e ragione non si frammentano in decisioni contraddittorie, ma convergono verso un bene riconosciuto e assunto.</w:t>
      </w:r>
    </w:p>
    <w:p w14:paraId="0805D22A"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«Ecco la serva del Signore: avvenga per me secondo la tua parola.»</w:t>
      </w:r>
      <w:r w:rsidRPr="00CB118B">
        <w:rPr>
          <w:rFonts w:ascii="Times New Roman" w:eastAsia="Times New Roman" w:hAnsi="Times New Roman" w:cs="Times New Roman"/>
          <w:color w:val="000000"/>
          <w:kern w:val="0"/>
          <w:sz w:val="26"/>
          <w:szCs w:val="26"/>
          <w:lang w:eastAsia="en-GB"/>
          <w14:ligatures w14:val="none"/>
        </w:rPr>
        <w:br/>
        <w:t>— Lc 1,38.</w:t>
      </w:r>
    </w:p>
    <w:p w14:paraId="625C4DFA"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Vergine concepì nella fede; la sua fede generò.»</w:t>
      </w:r>
      <w:r w:rsidRPr="00CB118B">
        <w:rPr>
          <w:rFonts w:ascii="Times New Roman" w:eastAsia="Times New Roman" w:hAnsi="Times New Roman" w:cs="Times New Roman"/>
          <w:color w:val="000000"/>
          <w:kern w:val="0"/>
          <w:sz w:val="26"/>
          <w:szCs w:val="26"/>
          <w:lang w:eastAsia="en-GB"/>
          <w14:ligatures w14:val="none"/>
        </w:rPr>
        <w:br/>
        <w:t>— Agostino, </w:t>
      </w:r>
      <w:r w:rsidRPr="00CB118B">
        <w:rPr>
          <w:rFonts w:ascii="Times New Roman" w:eastAsia="Times New Roman" w:hAnsi="Times New Roman" w:cs="Times New Roman"/>
          <w:i/>
          <w:iCs/>
          <w:color w:val="000000"/>
          <w:kern w:val="0"/>
          <w:sz w:val="26"/>
          <w:szCs w:val="26"/>
          <w:lang w:eastAsia="en-GB"/>
          <w14:ligatures w14:val="none"/>
        </w:rPr>
        <w:t>Sermo</w:t>
      </w:r>
      <w:r w:rsidRPr="00CB118B">
        <w:rPr>
          <w:rFonts w:ascii="Times New Roman" w:eastAsia="Times New Roman" w:hAnsi="Times New Roman" w:cs="Times New Roman"/>
          <w:color w:val="000000"/>
          <w:kern w:val="0"/>
          <w:sz w:val="26"/>
          <w:szCs w:val="26"/>
          <w:lang w:eastAsia="en-GB"/>
          <w14:ligatures w14:val="none"/>
        </w:rPr>
        <w:t> 215, 4.</w:t>
      </w:r>
    </w:p>
    <w:p w14:paraId="498168D4" w14:textId="66111146"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libertà matura si oppone all’autonomia assoluta: essa si compie come </w:t>
      </w:r>
      <w:r w:rsidRPr="00CB118B">
        <w:rPr>
          <w:rFonts w:ascii="Times New Roman" w:eastAsia="Times New Roman" w:hAnsi="Times New Roman" w:cs="Times New Roman"/>
          <w:b/>
          <w:bCs/>
          <w:color w:val="000000"/>
          <w:kern w:val="0"/>
          <w:sz w:val="26"/>
          <w:szCs w:val="26"/>
          <w:lang w:eastAsia="en-GB"/>
          <w14:ligatures w14:val="none"/>
        </w:rPr>
        <w:t>atto responsabile</w:t>
      </w:r>
      <w:r w:rsidRPr="00CB118B">
        <w:rPr>
          <w:rFonts w:ascii="Times New Roman" w:eastAsia="Times New Roman" w:hAnsi="Times New Roman" w:cs="Times New Roman"/>
          <w:color w:val="000000"/>
          <w:kern w:val="0"/>
          <w:sz w:val="26"/>
          <w:szCs w:val="26"/>
          <w:lang w:eastAsia="en-GB"/>
          <w14:ligatures w14:val="none"/>
        </w:rPr>
        <w:t>.</w:t>
      </w:r>
    </w:p>
    <w:p w14:paraId="049F7578"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3. Maria e la pedagogia della sofferenza: speranza senza disperazione</w:t>
      </w:r>
    </w:p>
    <w:p w14:paraId="746A3802"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tradizione cristiana non idealizza la vita di Maria come priva di sofferenza. Al contrario, i Vangeli e la lettura patristica sottolineano un itinerario esistenziale segnato dalla precarietà e dal dolore: la nascita nella povertà, la fuga in Egitto, l’esperienza dell’esilio, l’incomprensione, la profezia della spada che trafiggerà l’anima, la presenza silenziosa sotto la Croce. Maria non è “protetta” dalla sofferenza, ma la attraversa nella fedeltà. Questo fatto possiede un valore teologico decisivo: la speranza non è valida solo in condizioni ideali, ma soprattutto nelle situazioni-limite.</w:t>
      </w:r>
    </w:p>
    <w:p w14:paraId="29F3A681"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lastRenderedPageBreak/>
        <w:t>Questa dimensione è particolarmente rilevante per la Romania attuale, dove la sofferenza è spesso vissuta nell’isolamento: la malattia, la povertà, le dipendenze, la solitudine degli anziani, il trauma delle famiglie divise dalla migrazione. Maria mostra che il dolore non è segno dell’abbandono divino. La speranza mariana non consiste nell’eliminazione della sofferenza, ma nel rifiuto della disperazione. Essa rende possibile una sofferenza vissuta nella comunione, non nell’isolamento o nella rivolta muta.</w:t>
      </w:r>
    </w:p>
    <w:p w14:paraId="03476D6C" w14:textId="77777777" w:rsidR="00CB118B" w:rsidRPr="00CB118B" w:rsidRDefault="00CB118B" w:rsidP="00CB118B">
      <w:pPr>
        <w:spacing w:before="100" w:beforeAutospacing="1" w:after="100" w:afterAutospacing="1" w:line="240" w:lineRule="auto"/>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«Stava presso la croce di Gesù sua madre.»</w:t>
      </w:r>
      <w:r w:rsidRPr="00CB118B">
        <w:rPr>
          <w:rFonts w:ascii="Times New Roman" w:eastAsia="Times New Roman" w:hAnsi="Times New Roman" w:cs="Times New Roman"/>
          <w:color w:val="000000"/>
          <w:kern w:val="0"/>
          <w:sz w:val="26"/>
          <w:szCs w:val="26"/>
          <w:lang w:eastAsia="en-GB"/>
          <w14:ligatures w14:val="none"/>
        </w:rPr>
        <w:br/>
        <w:t>— Gv 19,25.</w:t>
      </w:r>
    </w:p>
    <w:p w14:paraId="5E35F882" w14:textId="1BAED0CD"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La speranza non è evasione dal dolore, ma </w:t>
      </w:r>
      <w:r w:rsidRPr="00CB118B">
        <w:rPr>
          <w:rFonts w:ascii="Times New Roman" w:eastAsia="Times New Roman" w:hAnsi="Times New Roman" w:cs="Times New Roman"/>
          <w:b/>
          <w:bCs/>
          <w:color w:val="000000"/>
          <w:kern w:val="0"/>
          <w:sz w:val="26"/>
          <w:szCs w:val="26"/>
          <w:lang w:eastAsia="en-GB"/>
          <w14:ligatures w14:val="none"/>
        </w:rPr>
        <w:t>presenza fedele</w:t>
      </w:r>
      <w:r w:rsidRPr="00CB118B">
        <w:rPr>
          <w:rFonts w:ascii="Times New Roman" w:eastAsia="Times New Roman" w:hAnsi="Times New Roman" w:cs="Times New Roman"/>
          <w:color w:val="000000"/>
          <w:kern w:val="0"/>
          <w:sz w:val="26"/>
          <w:szCs w:val="26"/>
          <w:lang w:eastAsia="en-GB"/>
          <w14:ligatures w14:val="none"/>
        </w:rPr>
        <w:t> nel dolore.</w:t>
      </w:r>
    </w:p>
    <w:p w14:paraId="578B78C1" w14:textId="77777777" w:rsidR="00CB118B" w:rsidRPr="00CB118B" w:rsidRDefault="00CB118B" w:rsidP="00CB118B">
      <w:pPr>
        <w:spacing w:before="100" w:beforeAutospacing="1" w:after="100" w:afterAutospacing="1" w:line="240" w:lineRule="auto"/>
        <w:jc w:val="both"/>
        <w:outlineLvl w:val="1"/>
        <w:rPr>
          <w:rFonts w:ascii="Times New Roman" w:eastAsia="Times New Roman" w:hAnsi="Times New Roman" w:cs="Times New Roman"/>
          <w:b/>
          <w:bCs/>
          <w:color w:val="000000"/>
          <w:kern w:val="0"/>
          <w:sz w:val="26"/>
          <w:szCs w:val="26"/>
          <w:lang w:eastAsia="en-GB"/>
          <w14:ligatures w14:val="none"/>
        </w:rPr>
      </w:pPr>
      <w:r w:rsidRPr="00CB118B">
        <w:rPr>
          <w:rFonts w:ascii="Times New Roman" w:eastAsia="Times New Roman" w:hAnsi="Times New Roman" w:cs="Times New Roman"/>
          <w:b/>
          <w:bCs/>
          <w:color w:val="000000"/>
          <w:kern w:val="0"/>
          <w:sz w:val="26"/>
          <w:szCs w:val="26"/>
          <w:lang w:eastAsia="en-GB"/>
          <w14:ligatures w14:val="none"/>
        </w:rPr>
        <w:t>Conclusione. Maria come figura della speranza integrata</w:t>
      </w:r>
    </w:p>
    <w:p w14:paraId="1CA462AD"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Alla luce della riflessione patristica e dell’applicazione contestuale, la Vergine Maria si configura come una figura di straordinaria attualità per il cristiano romeno di oggi. Ella non offre soluzioni magiche né ricette rapide, ma un modo di vivere la speranza come fedeltà, responsabilità e comunione. Maria mostra che la speranza è possibile anche nella fragilità, che la libertà può essere matura, che la sofferenza può diventare luogo di senso e che la storia resta aperta.</w:t>
      </w:r>
    </w:p>
    <w:p w14:paraId="696A432A" w14:textId="77777777" w:rsidR="00CB118B" w:rsidRPr="00CB118B" w:rsidRDefault="00CB118B" w:rsidP="00CB118B">
      <w:pPr>
        <w:spacing w:before="100" w:beforeAutospacing="1" w:after="100" w:afterAutospacing="1" w:line="240" w:lineRule="auto"/>
        <w:jc w:val="both"/>
        <w:rPr>
          <w:rFonts w:ascii="Times New Roman" w:eastAsia="Times New Roman" w:hAnsi="Times New Roman" w:cs="Times New Roman"/>
          <w:color w:val="000000"/>
          <w:kern w:val="0"/>
          <w:sz w:val="26"/>
          <w:szCs w:val="26"/>
          <w:lang w:eastAsia="en-GB"/>
          <w14:ligatures w14:val="none"/>
        </w:rPr>
      </w:pPr>
      <w:r w:rsidRPr="00CB118B">
        <w:rPr>
          <w:rFonts w:ascii="Times New Roman" w:eastAsia="Times New Roman" w:hAnsi="Times New Roman" w:cs="Times New Roman"/>
          <w:color w:val="000000"/>
          <w:kern w:val="0"/>
          <w:sz w:val="26"/>
          <w:szCs w:val="26"/>
          <w:lang w:eastAsia="en-GB"/>
          <w14:ligatures w14:val="none"/>
        </w:rPr>
        <w:t>Per questo la Chiesa la chiama a buon diritto Madre della speranza: non come sostituto di Cristo, ma come testimone vivente della fedeltà di Dio verso l’uomo e verso la storia. In Maria, la speranza non resta un’idea, ma assume una forma esistenziale: risposta, pazienza, comunione, presenza. Per il cristiano romeno di oggi, ciò significa che la speranza non è un lusso spirituale, ma una forza di ricostruzione interiore e comunitaria, capace di restituire senso, di rifondare legami e di aprire il futuro là dove sembra chiuso.</w:t>
      </w:r>
    </w:p>
    <w:p w14:paraId="6262501D" w14:textId="77777777" w:rsidR="00CB118B" w:rsidRPr="00CB118B" w:rsidRDefault="00CB118B" w:rsidP="00CB118B">
      <w:pPr>
        <w:spacing w:before="100" w:beforeAutospacing="1" w:after="100" w:afterAutospacing="1" w:line="240" w:lineRule="auto"/>
        <w:jc w:val="both"/>
        <w:outlineLvl w:val="0"/>
        <w:rPr>
          <w:rFonts w:ascii="Times New Roman" w:hAnsi="Times New Roman" w:cs="Times New Roman"/>
          <w:sz w:val="26"/>
          <w:szCs w:val="26"/>
        </w:rPr>
      </w:pPr>
    </w:p>
    <w:sectPr w:rsidR="00CB118B" w:rsidRPr="00CB118B">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D766C" w14:textId="77777777" w:rsidR="005F4A22" w:rsidRDefault="005F4A22" w:rsidP="00E54063">
      <w:pPr>
        <w:spacing w:after="0" w:line="240" w:lineRule="auto"/>
      </w:pPr>
      <w:r>
        <w:separator/>
      </w:r>
    </w:p>
  </w:endnote>
  <w:endnote w:type="continuationSeparator" w:id="0">
    <w:p w14:paraId="3AEE8A32" w14:textId="77777777" w:rsidR="005F4A22" w:rsidRDefault="005F4A22" w:rsidP="00E54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84159307"/>
      <w:docPartObj>
        <w:docPartGallery w:val="Page Numbers (Bottom of Page)"/>
        <w:docPartUnique/>
      </w:docPartObj>
    </w:sdtPr>
    <w:sdtContent>
      <w:p w14:paraId="34FF6CCF" w14:textId="3D2FC509" w:rsidR="00E54063" w:rsidRDefault="00E54063" w:rsidP="006E7F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8530BFB" w14:textId="77777777" w:rsidR="00E54063" w:rsidRDefault="00E54063" w:rsidP="00E540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86006822"/>
      <w:docPartObj>
        <w:docPartGallery w:val="Page Numbers (Bottom of Page)"/>
        <w:docPartUnique/>
      </w:docPartObj>
    </w:sdtPr>
    <w:sdtContent>
      <w:p w14:paraId="5906B073" w14:textId="0794DCA4" w:rsidR="00E54063" w:rsidRDefault="00E54063" w:rsidP="006E7F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4D693AEF" w14:textId="77777777" w:rsidR="00E54063" w:rsidRDefault="00E54063" w:rsidP="00E5406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76834" w14:textId="77777777" w:rsidR="005F4A22" w:rsidRDefault="005F4A22" w:rsidP="00E54063">
      <w:pPr>
        <w:spacing w:after="0" w:line="240" w:lineRule="auto"/>
      </w:pPr>
      <w:r>
        <w:separator/>
      </w:r>
    </w:p>
  </w:footnote>
  <w:footnote w:type="continuationSeparator" w:id="0">
    <w:p w14:paraId="1F3ABA68" w14:textId="77777777" w:rsidR="005F4A22" w:rsidRDefault="005F4A22" w:rsidP="00E540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D4F95"/>
    <w:multiLevelType w:val="multilevel"/>
    <w:tmpl w:val="AD201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384134"/>
    <w:multiLevelType w:val="multilevel"/>
    <w:tmpl w:val="5E6A8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D6C62"/>
    <w:multiLevelType w:val="multilevel"/>
    <w:tmpl w:val="6C64D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BA4B4C"/>
    <w:multiLevelType w:val="multilevel"/>
    <w:tmpl w:val="D78A7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334BBD"/>
    <w:multiLevelType w:val="multilevel"/>
    <w:tmpl w:val="D1EE4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E2CEC"/>
    <w:multiLevelType w:val="multilevel"/>
    <w:tmpl w:val="15945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F62B79"/>
    <w:multiLevelType w:val="multilevel"/>
    <w:tmpl w:val="1BBAF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2A5D4C"/>
    <w:multiLevelType w:val="multilevel"/>
    <w:tmpl w:val="125E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3C3D6F"/>
    <w:multiLevelType w:val="multilevel"/>
    <w:tmpl w:val="2E167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6F0442"/>
    <w:multiLevelType w:val="multilevel"/>
    <w:tmpl w:val="1C1E2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7E596C"/>
    <w:multiLevelType w:val="multilevel"/>
    <w:tmpl w:val="8B98D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D050C3"/>
    <w:multiLevelType w:val="multilevel"/>
    <w:tmpl w:val="31C8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2E6314"/>
    <w:multiLevelType w:val="multilevel"/>
    <w:tmpl w:val="82AE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326EC"/>
    <w:multiLevelType w:val="multilevel"/>
    <w:tmpl w:val="AFFA7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B5752D"/>
    <w:multiLevelType w:val="multilevel"/>
    <w:tmpl w:val="1176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1122D2"/>
    <w:multiLevelType w:val="multilevel"/>
    <w:tmpl w:val="307E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96488C"/>
    <w:multiLevelType w:val="multilevel"/>
    <w:tmpl w:val="E1B6A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EB17CD"/>
    <w:multiLevelType w:val="multilevel"/>
    <w:tmpl w:val="9690864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BE6783F"/>
    <w:multiLevelType w:val="multilevel"/>
    <w:tmpl w:val="90849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9628326">
    <w:abstractNumId w:val="11"/>
  </w:num>
  <w:num w:numId="2" w16cid:durableId="853806718">
    <w:abstractNumId w:val="14"/>
  </w:num>
  <w:num w:numId="3" w16cid:durableId="1381589664">
    <w:abstractNumId w:val="2"/>
  </w:num>
  <w:num w:numId="4" w16cid:durableId="602962103">
    <w:abstractNumId w:val="13"/>
  </w:num>
  <w:num w:numId="5" w16cid:durableId="170336644">
    <w:abstractNumId w:val="15"/>
  </w:num>
  <w:num w:numId="6" w16cid:durableId="228228572">
    <w:abstractNumId w:val="18"/>
  </w:num>
  <w:num w:numId="7" w16cid:durableId="777261741">
    <w:abstractNumId w:val="9"/>
  </w:num>
  <w:num w:numId="8" w16cid:durableId="1635679190">
    <w:abstractNumId w:val="5"/>
  </w:num>
  <w:num w:numId="9" w16cid:durableId="1396901500">
    <w:abstractNumId w:val="4"/>
  </w:num>
  <w:num w:numId="10" w16cid:durableId="529144851">
    <w:abstractNumId w:val="16"/>
  </w:num>
  <w:num w:numId="11" w16cid:durableId="839470996">
    <w:abstractNumId w:val="8"/>
  </w:num>
  <w:num w:numId="12" w16cid:durableId="2002004689">
    <w:abstractNumId w:val="3"/>
  </w:num>
  <w:num w:numId="13" w16cid:durableId="1627421587">
    <w:abstractNumId w:val="10"/>
  </w:num>
  <w:num w:numId="14" w16cid:durableId="643314799">
    <w:abstractNumId w:val="1"/>
  </w:num>
  <w:num w:numId="15" w16cid:durableId="926304685">
    <w:abstractNumId w:val="12"/>
  </w:num>
  <w:num w:numId="16" w16cid:durableId="1072041655">
    <w:abstractNumId w:val="7"/>
  </w:num>
  <w:num w:numId="17" w16cid:durableId="1284074818">
    <w:abstractNumId w:val="6"/>
  </w:num>
  <w:num w:numId="18" w16cid:durableId="1715084912">
    <w:abstractNumId w:val="0"/>
  </w:num>
  <w:num w:numId="19" w16cid:durableId="14254891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DB4"/>
    <w:rsid w:val="000334F8"/>
    <w:rsid w:val="00234B9B"/>
    <w:rsid w:val="00303BFC"/>
    <w:rsid w:val="00385AE2"/>
    <w:rsid w:val="00474C62"/>
    <w:rsid w:val="005F4A22"/>
    <w:rsid w:val="0063644F"/>
    <w:rsid w:val="00760A95"/>
    <w:rsid w:val="008B1DB4"/>
    <w:rsid w:val="0096116C"/>
    <w:rsid w:val="00A0072B"/>
    <w:rsid w:val="00CB118B"/>
    <w:rsid w:val="00CC2CED"/>
    <w:rsid w:val="00E54063"/>
    <w:rsid w:val="00E9463D"/>
    <w:rsid w:val="00F32618"/>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359C2"/>
  <w15:chartTrackingRefBased/>
  <w15:docId w15:val="{3CC7EB97-1B10-F84A-BA1D-76D2E4194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D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B1D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B1D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D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D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D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D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D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D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D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B1D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B1D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D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D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D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D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D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DB4"/>
    <w:rPr>
      <w:rFonts w:eastAsiaTheme="majorEastAsia" w:cstheme="majorBidi"/>
      <w:color w:val="272727" w:themeColor="text1" w:themeTint="D8"/>
    </w:rPr>
  </w:style>
  <w:style w:type="paragraph" w:styleId="Title">
    <w:name w:val="Title"/>
    <w:basedOn w:val="Normal"/>
    <w:next w:val="Normal"/>
    <w:link w:val="TitleChar"/>
    <w:uiPriority w:val="10"/>
    <w:qFormat/>
    <w:rsid w:val="008B1D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D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D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D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DB4"/>
    <w:pPr>
      <w:spacing w:before="160"/>
      <w:jc w:val="center"/>
    </w:pPr>
    <w:rPr>
      <w:i/>
      <w:iCs/>
      <w:color w:val="404040" w:themeColor="text1" w:themeTint="BF"/>
    </w:rPr>
  </w:style>
  <w:style w:type="character" w:customStyle="1" w:styleId="QuoteChar">
    <w:name w:val="Quote Char"/>
    <w:basedOn w:val="DefaultParagraphFont"/>
    <w:link w:val="Quote"/>
    <w:uiPriority w:val="29"/>
    <w:rsid w:val="008B1DB4"/>
    <w:rPr>
      <w:i/>
      <w:iCs/>
      <w:color w:val="404040" w:themeColor="text1" w:themeTint="BF"/>
    </w:rPr>
  </w:style>
  <w:style w:type="paragraph" w:styleId="ListParagraph">
    <w:name w:val="List Paragraph"/>
    <w:basedOn w:val="Normal"/>
    <w:uiPriority w:val="34"/>
    <w:qFormat/>
    <w:rsid w:val="008B1DB4"/>
    <w:pPr>
      <w:ind w:left="720"/>
      <w:contextualSpacing/>
    </w:pPr>
  </w:style>
  <w:style w:type="character" w:styleId="IntenseEmphasis">
    <w:name w:val="Intense Emphasis"/>
    <w:basedOn w:val="DefaultParagraphFont"/>
    <w:uiPriority w:val="21"/>
    <w:qFormat/>
    <w:rsid w:val="008B1DB4"/>
    <w:rPr>
      <w:i/>
      <w:iCs/>
      <w:color w:val="0F4761" w:themeColor="accent1" w:themeShade="BF"/>
    </w:rPr>
  </w:style>
  <w:style w:type="paragraph" w:styleId="IntenseQuote">
    <w:name w:val="Intense Quote"/>
    <w:basedOn w:val="Normal"/>
    <w:next w:val="Normal"/>
    <w:link w:val="IntenseQuoteChar"/>
    <w:uiPriority w:val="30"/>
    <w:qFormat/>
    <w:rsid w:val="008B1D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DB4"/>
    <w:rPr>
      <w:i/>
      <w:iCs/>
      <w:color w:val="0F4761" w:themeColor="accent1" w:themeShade="BF"/>
    </w:rPr>
  </w:style>
  <w:style w:type="character" w:styleId="IntenseReference">
    <w:name w:val="Intense Reference"/>
    <w:basedOn w:val="DefaultParagraphFont"/>
    <w:uiPriority w:val="32"/>
    <w:qFormat/>
    <w:rsid w:val="008B1DB4"/>
    <w:rPr>
      <w:b/>
      <w:bCs/>
      <w:smallCaps/>
      <w:color w:val="0F4761" w:themeColor="accent1" w:themeShade="BF"/>
      <w:spacing w:val="5"/>
    </w:rPr>
  </w:style>
  <w:style w:type="paragraph" w:styleId="NormalWeb">
    <w:name w:val="Normal (Web)"/>
    <w:basedOn w:val="Normal"/>
    <w:uiPriority w:val="99"/>
    <w:semiHidden/>
    <w:unhideWhenUsed/>
    <w:rsid w:val="008B1DB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8B1DB4"/>
  </w:style>
  <w:style w:type="character" w:styleId="Emphasis">
    <w:name w:val="Emphasis"/>
    <w:basedOn w:val="DefaultParagraphFont"/>
    <w:uiPriority w:val="20"/>
    <w:qFormat/>
    <w:rsid w:val="008B1DB4"/>
    <w:rPr>
      <w:i/>
      <w:iCs/>
    </w:rPr>
  </w:style>
  <w:style w:type="character" w:styleId="Strong">
    <w:name w:val="Strong"/>
    <w:basedOn w:val="DefaultParagraphFont"/>
    <w:uiPriority w:val="22"/>
    <w:qFormat/>
    <w:rsid w:val="00F32618"/>
    <w:rPr>
      <w:b/>
      <w:bCs/>
    </w:rPr>
  </w:style>
  <w:style w:type="paragraph" w:styleId="Footer">
    <w:name w:val="footer"/>
    <w:basedOn w:val="Normal"/>
    <w:link w:val="FooterChar"/>
    <w:uiPriority w:val="99"/>
    <w:unhideWhenUsed/>
    <w:rsid w:val="00E540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063"/>
  </w:style>
  <w:style w:type="character" w:styleId="PageNumber">
    <w:name w:val="page number"/>
    <w:basedOn w:val="DefaultParagraphFont"/>
    <w:uiPriority w:val="99"/>
    <w:semiHidden/>
    <w:unhideWhenUsed/>
    <w:rsid w:val="00E54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6592</Words>
  <Characters>38036</Characters>
  <Application>Microsoft Office Word</Application>
  <DocSecurity>0</DocSecurity>
  <Lines>576</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4</cp:revision>
  <cp:lastPrinted>2025-12-18T09:42:00Z</cp:lastPrinted>
  <dcterms:created xsi:type="dcterms:W3CDTF">2025-12-18T10:01:00Z</dcterms:created>
  <dcterms:modified xsi:type="dcterms:W3CDTF">2025-12-18T10:11:00Z</dcterms:modified>
</cp:coreProperties>
</file>